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95" w:rsidRDefault="009D74AC" w:rsidP="00D11C95">
      <w:pPr>
        <w:pStyle w:val="NormalWeb"/>
        <w:shd w:val="clear" w:color="auto" w:fill="FFFFFF"/>
        <w:jc w:val="both"/>
        <w:textAlignment w:val="top"/>
        <w:rPr>
          <w:rFonts w:ascii="Arial Black" w:hAnsi="Arial Black" w:cs="Arial"/>
          <w:color w:val="222222"/>
          <w:sz w:val="36"/>
          <w:szCs w:val="36"/>
        </w:rPr>
      </w:pPr>
      <w:r>
        <w:rPr>
          <w:rFonts w:ascii="Arial Black" w:hAnsi="Arial Black" w:cs="Arial"/>
          <w:color w:val="222222"/>
          <w:sz w:val="36"/>
          <w:szCs w:val="36"/>
        </w:rPr>
        <w:t>Received or Turned Away</w:t>
      </w:r>
    </w:p>
    <w:p w:rsidR="00D11C95" w:rsidRDefault="009D74AC" w:rsidP="00D11C95">
      <w:pPr>
        <w:pStyle w:val="NormalWeb"/>
        <w:shd w:val="clear" w:color="auto" w:fill="FFFFFF"/>
        <w:jc w:val="both"/>
        <w:textAlignment w:val="top"/>
        <w:rPr>
          <w:rFonts w:ascii="Arial Black" w:hAnsi="Arial Black" w:cs="Arial"/>
          <w:color w:val="222222"/>
          <w:sz w:val="27"/>
          <w:szCs w:val="27"/>
        </w:rPr>
      </w:pPr>
      <w:r>
        <w:rPr>
          <w:rFonts w:ascii="Arial Black" w:hAnsi="Arial Black" w:cs="Arial"/>
          <w:color w:val="222222"/>
          <w:sz w:val="27"/>
          <w:szCs w:val="27"/>
        </w:rPr>
        <w:t>Matthew 24:40-44 is NOT The Rapture</w:t>
      </w:r>
    </w:p>
    <w:p w:rsidR="009D74AC" w:rsidRPr="0018605E" w:rsidRDefault="009D74AC" w:rsidP="00D11C95">
      <w:pPr>
        <w:pStyle w:val="NormalWeb"/>
        <w:shd w:val="clear" w:color="auto" w:fill="FFFFFF"/>
        <w:jc w:val="both"/>
        <w:textAlignment w:val="top"/>
        <w:rPr>
          <w:rStyle w:val="Strong"/>
          <w:rFonts w:ascii="Arial" w:hAnsi="Arial" w:cs="Arial"/>
          <w:color w:val="222222"/>
        </w:rPr>
      </w:pPr>
      <w:r w:rsidRPr="0018605E">
        <w:rPr>
          <w:rStyle w:val="Strong"/>
          <w:rFonts w:ascii="Arial" w:hAnsi="Arial" w:cs="Arial"/>
          <w:color w:val="222222"/>
        </w:rPr>
        <w:t>By Arlen Chitwood</w:t>
      </w:r>
    </w:p>
    <w:p w:rsidR="009D74AC" w:rsidRPr="0018605E" w:rsidRDefault="009D74AC"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FF0000"/>
        </w:rPr>
      </w:pPr>
      <w:r w:rsidRPr="0018605E">
        <w:rPr>
          <w:rStyle w:val="Emphasis"/>
          <w:rFonts w:ascii="Arial" w:hAnsi="Arial" w:cs="Arial"/>
          <w:color w:val="FF0000"/>
        </w:rPr>
        <w:t>"Then there will be two men in the field; one will be taken and one will be left.</w:t>
      </w:r>
    </w:p>
    <w:p w:rsidR="009D74AC" w:rsidRPr="0018605E" w:rsidRDefault="009D74AC"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FF0000"/>
        </w:rPr>
      </w:pPr>
      <w:r w:rsidRPr="0018605E">
        <w:rPr>
          <w:rStyle w:val="Emphasis"/>
          <w:rFonts w:ascii="Arial" w:hAnsi="Arial" w:cs="Arial"/>
          <w:color w:val="FF0000"/>
        </w:rPr>
        <w:t>"Two women will be grinding at the mill; one will be taken and one will be left.</w:t>
      </w:r>
    </w:p>
    <w:p w:rsidR="009D74AC" w:rsidRPr="0018605E" w:rsidRDefault="009D74AC"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FF0000"/>
        </w:rPr>
      </w:pPr>
      <w:r w:rsidRPr="0018605E">
        <w:rPr>
          <w:rStyle w:val="Emphasis"/>
          <w:rFonts w:ascii="Arial" w:hAnsi="Arial" w:cs="Arial"/>
          <w:color w:val="FF0000"/>
        </w:rPr>
        <w:t>"Therefore be on the alert, for you do not know which day your Lord is coming.</w:t>
      </w:r>
    </w:p>
    <w:p w:rsidR="009D74AC" w:rsidRPr="0018605E" w:rsidRDefault="009D74AC"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FF0000"/>
        </w:rPr>
      </w:pPr>
      <w:r w:rsidRPr="0018605E">
        <w:rPr>
          <w:rStyle w:val="Emphasis"/>
          <w:rFonts w:ascii="Arial" w:hAnsi="Arial" w:cs="Arial"/>
          <w:color w:val="FF0000"/>
        </w:rPr>
        <w:t>"But be sure of this, that if the head of the house had known at what time of the night the thief was coming, he would have been on the alert and would not have allowed his house to be broken into.</w:t>
      </w:r>
    </w:p>
    <w:p w:rsidR="009D74AC" w:rsidRPr="0018605E" w:rsidRDefault="009D74AC"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Style w:val="Emphasis"/>
          <w:rFonts w:ascii="Arial" w:hAnsi="Arial" w:cs="Arial"/>
          <w:color w:val="FF0000"/>
        </w:rPr>
        <w:t xml:space="preserve">"For this reason you also must be ready; for the Son of Man is coming at an hour when you do not think </w:t>
      </w:r>
      <w:r w:rsidRPr="0018605E">
        <w:rPr>
          <w:rStyle w:val="Emphasis"/>
          <w:rFonts w:ascii="Arial" w:hAnsi="Arial" w:cs="Arial"/>
          <w:color w:val="000000"/>
        </w:rPr>
        <w:t>He will</w:t>
      </w:r>
      <w:r w:rsidRPr="0018605E">
        <w:rPr>
          <w:rStyle w:val="Emphasis"/>
          <w:rFonts w:ascii="Arial" w:hAnsi="Arial" w:cs="Arial"/>
          <w:color w:val="FF0000"/>
        </w:rPr>
        <w:t xml:space="preserve">. </w:t>
      </w:r>
      <w:r w:rsidRPr="0018605E">
        <w:rPr>
          <w:rFonts w:ascii="Arial" w:hAnsi="Arial" w:cs="Arial"/>
          <w:color w:val="222222"/>
        </w:rPr>
        <w:t>(Mat. 24:40-44)</w:t>
      </w:r>
    </w:p>
    <w:p w:rsidR="009D74AC" w:rsidRPr="0018605E" w:rsidRDefault="009D74AC"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Style w:val="Emphasis"/>
          <w:rFonts w:ascii="Arial" w:hAnsi="Arial" w:cs="Arial"/>
          <w:color w:val="FF0000"/>
        </w:rPr>
        <w:t>"But keep on the alert at all times, praying that you may have strength to escape all these things that are about to take place, and to stand before the Son of Man."</w:t>
      </w:r>
      <w:r w:rsidRPr="0018605E">
        <w:rPr>
          <w:rFonts w:ascii="Arial" w:hAnsi="Arial" w:cs="Arial"/>
          <w:color w:val="222222"/>
        </w:rPr>
        <w:t xml:space="preserve"> (Luk. 21:36)</w:t>
      </w:r>
    </w:p>
    <w:p w:rsidR="009D74AC" w:rsidRPr="0018605E" w:rsidRDefault="009D74AC"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The words in the text, “</w:t>
      </w:r>
      <w:r w:rsidRPr="0018605E">
        <w:rPr>
          <w:rStyle w:val="Emphasis"/>
          <w:rFonts w:ascii="Arial" w:hAnsi="Arial" w:cs="Arial"/>
          <w:color w:val="222222"/>
        </w:rPr>
        <w:t>one will be taken and the other left</w:t>
      </w:r>
      <w:r w:rsidRPr="0018605E">
        <w:rPr>
          <w:rFonts w:ascii="Arial" w:hAnsi="Arial" w:cs="Arial"/>
          <w:color w:val="222222"/>
        </w:rPr>
        <w:t xml:space="preserve">,” are often misunderstood by expositors. And through this misunderstanding, some mistakenly teach that these verses refer to </w:t>
      </w:r>
      <w:r w:rsidRPr="0018605E">
        <w:rPr>
          <w:rStyle w:val="Emphasis"/>
          <w:rFonts w:ascii="Arial" w:hAnsi="Arial" w:cs="Arial"/>
          <w:color w:val="222222"/>
        </w:rPr>
        <w:t>the rapture</w:t>
      </w:r>
      <w:r w:rsidRPr="0018605E">
        <w:rPr>
          <w:rFonts w:ascii="Arial" w:hAnsi="Arial" w:cs="Arial"/>
          <w:color w:val="222222"/>
        </w:rPr>
        <w:t>, with one removed from the earth and another left behind on the earth. This though is not at all what is in view.</w:t>
      </w:r>
    </w:p>
    <w:p w:rsidR="009D74AC" w:rsidRPr="0018605E" w:rsidRDefault="009D74AC"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The mistake comes from thinking that the </w:t>
      </w:r>
      <w:r w:rsidRPr="0018605E">
        <w:rPr>
          <w:rStyle w:val="Emphasis"/>
          <w:rFonts w:ascii="Arial" w:hAnsi="Arial" w:cs="Arial"/>
          <w:color w:val="222222"/>
        </w:rPr>
        <w:t>ones left remain in the field or at the mill</w:t>
      </w:r>
      <w:r w:rsidRPr="0018605E">
        <w:rPr>
          <w:rFonts w:ascii="Arial" w:hAnsi="Arial" w:cs="Arial"/>
          <w:color w:val="222222"/>
        </w:rPr>
        <w:t xml:space="preserve">, while the others are </w:t>
      </w:r>
      <w:r w:rsidRPr="0018605E">
        <w:rPr>
          <w:rStyle w:val="Emphasis"/>
          <w:rFonts w:ascii="Arial" w:hAnsi="Arial" w:cs="Arial"/>
          <w:color w:val="222222"/>
        </w:rPr>
        <w:t>removed from these places</w:t>
      </w:r>
      <w:r w:rsidRPr="0018605E">
        <w:rPr>
          <w:rFonts w:ascii="Arial" w:hAnsi="Arial" w:cs="Arial"/>
          <w:color w:val="222222"/>
        </w:rPr>
        <w:t xml:space="preserve">. Reference to the Greek text, the context, and parallel Scripture though will show that this </w:t>
      </w:r>
      <w:r w:rsidRPr="0018605E">
        <w:rPr>
          <w:rStyle w:val="Emphasis"/>
          <w:rFonts w:ascii="Arial" w:hAnsi="Arial" w:cs="Arial"/>
          <w:color w:val="222222"/>
        </w:rPr>
        <w:t>cannot possibly be the case</w:t>
      </w:r>
      <w:r w:rsidRPr="0018605E">
        <w:rPr>
          <w:rFonts w:ascii="Arial" w:hAnsi="Arial" w:cs="Arial"/>
          <w:color w:val="222222"/>
        </w:rPr>
        <w:t xml:space="preserve">. These verses reveal the Lord’s dealings with two Christians who will be in the field and two other Christians who will be grinding at the mill (representative individuals, places, and occupations) when He returns to </w:t>
      </w:r>
      <w:r w:rsidRPr="0018605E">
        <w:rPr>
          <w:rStyle w:val="Emphasis"/>
          <w:rFonts w:ascii="Arial" w:hAnsi="Arial" w:cs="Arial"/>
          <w:color w:val="222222"/>
        </w:rPr>
        <w:t xml:space="preserve">reckon </w:t>
      </w:r>
      <w:r w:rsidRPr="0018605E">
        <w:rPr>
          <w:rFonts w:ascii="Arial" w:hAnsi="Arial" w:cs="Arial"/>
          <w:color w:val="222222"/>
        </w:rPr>
        <w:t xml:space="preserve">with His servants; and this </w:t>
      </w:r>
      <w:r w:rsidRPr="0018605E">
        <w:rPr>
          <w:rStyle w:val="Emphasis"/>
          <w:rFonts w:ascii="Arial" w:hAnsi="Arial" w:cs="Arial"/>
          <w:color w:val="222222"/>
        </w:rPr>
        <w:t xml:space="preserve">reckoning </w:t>
      </w:r>
      <w:r w:rsidRPr="0018605E">
        <w:rPr>
          <w:rFonts w:ascii="Arial" w:hAnsi="Arial" w:cs="Arial"/>
          <w:color w:val="222222"/>
        </w:rPr>
        <w:t xml:space="preserve">will occur, not in the field or at the mill, but before the </w:t>
      </w:r>
      <w:r w:rsidRPr="0018605E">
        <w:rPr>
          <w:rStyle w:val="Emphasis"/>
          <w:rFonts w:ascii="Arial" w:hAnsi="Arial" w:cs="Arial"/>
          <w:color w:val="222222"/>
        </w:rPr>
        <w:t>judgment seat of Christ in heaven following the rapture.</w:t>
      </w:r>
      <w:r w:rsidRPr="0018605E">
        <w:rPr>
          <w:rFonts w:ascii="Arial" w:hAnsi="Arial" w:cs="Arial"/>
          <w:color w:val="222222"/>
        </w:rPr>
        <w:t xml:space="preserve"> The </w:t>
      </w:r>
      <w:r w:rsidRPr="0018605E">
        <w:rPr>
          <w:rStyle w:val="Emphasis"/>
          <w:rFonts w:ascii="Arial" w:hAnsi="Arial" w:cs="Arial"/>
          <w:color w:val="222222"/>
        </w:rPr>
        <w:t xml:space="preserve">time and place </w:t>
      </w:r>
      <w:r w:rsidRPr="0018605E">
        <w:rPr>
          <w:rFonts w:ascii="Arial" w:hAnsi="Arial" w:cs="Arial"/>
          <w:color w:val="222222"/>
        </w:rPr>
        <w:t xml:space="preserve">of this </w:t>
      </w:r>
      <w:r w:rsidRPr="0018605E">
        <w:rPr>
          <w:rStyle w:val="Emphasis"/>
          <w:rFonts w:ascii="Arial" w:hAnsi="Arial" w:cs="Arial"/>
          <w:color w:val="222222"/>
        </w:rPr>
        <w:t xml:space="preserve">reckoning </w:t>
      </w:r>
      <w:r w:rsidRPr="0018605E">
        <w:rPr>
          <w:rFonts w:ascii="Arial" w:hAnsi="Arial" w:cs="Arial"/>
          <w:color w:val="222222"/>
        </w:rPr>
        <w:t>are</w:t>
      </w:r>
      <w:r w:rsidRPr="0018605E">
        <w:rPr>
          <w:rStyle w:val="Emphasis"/>
          <w:rFonts w:ascii="Arial" w:hAnsi="Arial" w:cs="Arial"/>
          <w:color w:val="222222"/>
        </w:rPr>
        <w:t xml:space="preserve"> always the same in Scripture</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The word “taken” (Mat. 24:40-41) is a translation of the Greek word </w:t>
      </w:r>
      <w:r w:rsidRPr="0018605E">
        <w:rPr>
          <w:rStyle w:val="Emphasis"/>
          <w:rFonts w:ascii="Arial" w:hAnsi="Arial" w:cs="Arial"/>
          <w:color w:val="222222"/>
        </w:rPr>
        <w:t>paralambano</w:t>
      </w:r>
      <w:r w:rsidRPr="0018605E">
        <w:rPr>
          <w:rFonts w:ascii="Arial" w:hAnsi="Arial" w:cs="Arial"/>
          <w:color w:val="222222"/>
        </w:rPr>
        <w:t xml:space="preserve">. This is a compound word comprised of </w:t>
      </w:r>
      <w:r w:rsidRPr="0018605E">
        <w:rPr>
          <w:rStyle w:val="Emphasis"/>
          <w:rFonts w:ascii="Arial" w:hAnsi="Arial" w:cs="Arial"/>
          <w:color w:val="222222"/>
        </w:rPr>
        <w:t xml:space="preserve">para </w:t>
      </w:r>
      <w:r w:rsidRPr="0018605E">
        <w:rPr>
          <w:rFonts w:ascii="Arial" w:hAnsi="Arial" w:cs="Arial"/>
          <w:color w:val="222222"/>
        </w:rPr>
        <w:t xml:space="preserve">(“beside,” or “alongside”) and </w:t>
      </w:r>
      <w:r w:rsidRPr="0018605E">
        <w:rPr>
          <w:rStyle w:val="Emphasis"/>
          <w:rFonts w:ascii="Arial" w:hAnsi="Arial" w:cs="Arial"/>
          <w:color w:val="222222"/>
        </w:rPr>
        <w:t xml:space="preserve">lambano </w:t>
      </w:r>
      <w:r w:rsidRPr="0018605E">
        <w:rPr>
          <w:rFonts w:ascii="Arial" w:hAnsi="Arial" w:cs="Arial"/>
          <w:color w:val="222222"/>
        </w:rPr>
        <w:t xml:space="preserve">(“to take,” or “to receive”). Thus, the word goes a step beyond just simply </w:t>
      </w:r>
      <w:r w:rsidRPr="0018605E">
        <w:rPr>
          <w:rStyle w:val="Emphasis"/>
          <w:rFonts w:ascii="Arial" w:hAnsi="Arial" w:cs="Arial"/>
          <w:color w:val="222222"/>
        </w:rPr>
        <w:t>taking or receiving</w:t>
      </w:r>
      <w:r w:rsidRPr="0018605E">
        <w:rPr>
          <w:rFonts w:ascii="Arial" w:hAnsi="Arial" w:cs="Arial"/>
          <w:color w:val="222222"/>
        </w:rPr>
        <w:t xml:space="preserve">. It is </w:t>
      </w:r>
      <w:r w:rsidRPr="0018605E">
        <w:rPr>
          <w:rStyle w:val="Emphasis"/>
          <w:rFonts w:ascii="Arial" w:hAnsi="Arial" w:cs="Arial"/>
          <w:color w:val="222222"/>
        </w:rPr>
        <w:t xml:space="preserve">taking or receiving the person alongside or to oneself </w:t>
      </w:r>
      <w:r w:rsidRPr="0018605E">
        <w:rPr>
          <w:rFonts w:ascii="Arial" w:hAnsi="Arial" w:cs="Arial"/>
          <w:color w:val="222222"/>
        </w:rPr>
        <w:t>(</w:t>
      </w:r>
      <w:r w:rsidRPr="0018605E">
        <w:rPr>
          <w:rStyle w:val="Emphasis"/>
          <w:rFonts w:ascii="Arial" w:hAnsi="Arial" w:cs="Arial"/>
          <w:color w:val="222222"/>
        </w:rPr>
        <w:t>cf.</w:t>
      </w:r>
      <w:r w:rsidRPr="0018605E">
        <w:rPr>
          <w:rFonts w:ascii="Arial" w:hAnsi="Arial" w:cs="Arial"/>
          <w:color w:val="222222"/>
        </w:rPr>
        <w:t xml:space="preserve"> Matthew 17:1; 20:17 where </w:t>
      </w:r>
      <w:r w:rsidRPr="0018605E">
        <w:rPr>
          <w:rStyle w:val="Emphasis"/>
          <w:rFonts w:ascii="Arial" w:hAnsi="Arial" w:cs="Arial"/>
          <w:color w:val="222222"/>
        </w:rPr>
        <w:t xml:space="preserve">paralambano </w:t>
      </w:r>
      <w:r w:rsidRPr="0018605E">
        <w:rPr>
          <w:rFonts w:ascii="Arial" w:hAnsi="Arial" w:cs="Arial"/>
          <w:color w:val="222222"/>
        </w:rPr>
        <w:t>is used). This would be the word used referring to the reception of an individual as an “associate” or a “companion,” which is actually what is involved in this passage.</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Then, the word “left” (Mat. 24:40-41) is a translation of the Greek word </w:t>
      </w:r>
      <w:r w:rsidRPr="0018605E">
        <w:rPr>
          <w:rStyle w:val="Emphasis"/>
          <w:rFonts w:ascii="Arial" w:hAnsi="Arial" w:cs="Arial"/>
          <w:color w:val="222222"/>
        </w:rPr>
        <w:t>aphiemi</w:t>
      </w:r>
      <w:r w:rsidRPr="0018605E">
        <w:rPr>
          <w:rFonts w:ascii="Arial" w:hAnsi="Arial" w:cs="Arial"/>
          <w:color w:val="222222"/>
        </w:rPr>
        <w:t xml:space="preserve">, which is used in an </w:t>
      </w:r>
      <w:r w:rsidRPr="0018605E">
        <w:rPr>
          <w:rStyle w:val="Emphasis"/>
          <w:rFonts w:ascii="Arial" w:hAnsi="Arial" w:cs="Arial"/>
          <w:color w:val="222222"/>
        </w:rPr>
        <w:t xml:space="preserve">antithetical </w:t>
      </w:r>
      <w:r w:rsidRPr="0018605E">
        <w:rPr>
          <w:rFonts w:ascii="Arial" w:hAnsi="Arial" w:cs="Arial"/>
          <w:color w:val="222222"/>
        </w:rPr>
        <w:t xml:space="preserve">respect to </w:t>
      </w:r>
      <w:r w:rsidRPr="0018605E">
        <w:rPr>
          <w:rStyle w:val="Emphasis"/>
          <w:rFonts w:ascii="Arial" w:hAnsi="Arial" w:cs="Arial"/>
          <w:color w:val="222222"/>
        </w:rPr>
        <w:t>paralambano</w:t>
      </w:r>
      <w:r w:rsidRPr="0018605E">
        <w:rPr>
          <w:rFonts w:ascii="Arial" w:hAnsi="Arial" w:cs="Arial"/>
          <w:color w:val="222222"/>
        </w:rPr>
        <w:t xml:space="preserve">. In the light of the way </w:t>
      </w:r>
      <w:r w:rsidRPr="0018605E">
        <w:rPr>
          <w:rStyle w:val="Emphasis"/>
          <w:rFonts w:ascii="Arial" w:hAnsi="Arial" w:cs="Arial"/>
          <w:color w:val="222222"/>
        </w:rPr>
        <w:t xml:space="preserve">paralambano </w:t>
      </w:r>
      <w:r w:rsidRPr="0018605E">
        <w:rPr>
          <w:rFonts w:ascii="Arial" w:hAnsi="Arial" w:cs="Arial"/>
          <w:color w:val="222222"/>
        </w:rPr>
        <w:t xml:space="preserve">is used, </w:t>
      </w:r>
      <w:r w:rsidRPr="0018605E">
        <w:rPr>
          <w:rStyle w:val="Emphasis"/>
          <w:rFonts w:ascii="Arial" w:hAnsi="Arial" w:cs="Arial"/>
          <w:color w:val="222222"/>
        </w:rPr>
        <w:t xml:space="preserve">aphiemi </w:t>
      </w:r>
      <w:r w:rsidRPr="0018605E">
        <w:rPr>
          <w:rFonts w:ascii="Arial" w:hAnsi="Arial" w:cs="Arial"/>
          <w:color w:val="222222"/>
        </w:rPr>
        <w:t xml:space="preserve">could possibly best be understood by translating the word, “turn away.” </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That which is involved in this passage has to do with </w:t>
      </w:r>
      <w:r w:rsidRPr="0018605E">
        <w:rPr>
          <w:rStyle w:val="Emphasis"/>
          <w:rFonts w:ascii="Arial" w:hAnsi="Arial" w:cs="Arial"/>
          <w:color w:val="222222"/>
        </w:rPr>
        <w:t>Christians before the judgment seat either being received in an intimate sense or being turned away in an opposite sense</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And the parable of the Householder and His servant, which immediately follows, is given to help explain these things. These verses are not referring to the rapture at all, but to </w:t>
      </w:r>
      <w:r w:rsidRPr="0018605E">
        <w:rPr>
          <w:rStyle w:val="Emphasis"/>
          <w:rFonts w:ascii="Arial" w:hAnsi="Arial" w:cs="Arial"/>
          <w:color w:val="222222"/>
        </w:rPr>
        <w:t>faithful and unfaithful Christians in different walks of life as they appear before the judgment seat in heaven</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Reference to the parallel passage in Luke’s account of the Olivet Discourse shows this same thing:</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Style w:val="Emphasis"/>
          <w:rFonts w:ascii="Arial" w:hAnsi="Arial" w:cs="Arial"/>
          <w:color w:val="FF0000"/>
        </w:rPr>
        <w:t>Watch therefore, and pray always that you may be counted worthy to escape all these things that will come to pass, and to stand before the Son of Man.</w:t>
      </w:r>
      <w:r w:rsidRPr="0018605E">
        <w:rPr>
          <w:rFonts w:ascii="Arial" w:hAnsi="Arial" w:cs="Arial"/>
          <w:color w:val="FF0000"/>
        </w:rPr>
        <w:t xml:space="preserve"> </w:t>
      </w:r>
      <w:r w:rsidRPr="0018605E">
        <w:rPr>
          <w:rFonts w:ascii="Arial" w:hAnsi="Arial" w:cs="Arial"/>
          <w:color w:val="222222"/>
        </w:rPr>
        <w:t>(Luke 21:36).</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Some expositors have also taken this verse as a reference to the rapture (usually those attempting selective rapture); but, again, such is not correct. This verse is actually the parallel in Luke’s gospel for not only Matthew 24:40-44 but also for the three parables that follow, covering the remainder of the Christian section of the discourse (the parable of the Householder and His servant [Mat. 24:45-51], the parable of the ten virgins [Mat. 25:1-13], and the parable of the talents [Mat. 25:14-30]).</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Again, reference to the Greek text, the context, and related Scripture will show exactly how this verse is to be understood. The main problems in translation and interpretation lie in the words “</w:t>
      </w:r>
      <w:r w:rsidRPr="0018605E">
        <w:rPr>
          <w:rStyle w:val="Emphasis"/>
          <w:rFonts w:ascii="Arial" w:hAnsi="Arial" w:cs="Arial"/>
          <w:color w:val="222222"/>
        </w:rPr>
        <w:t>that you may be counted worthy</w:t>
      </w:r>
      <w:r w:rsidRPr="0018605E">
        <w:rPr>
          <w:rFonts w:ascii="Arial" w:hAnsi="Arial" w:cs="Arial"/>
          <w:color w:val="222222"/>
        </w:rPr>
        <w:t>” and “</w:t>
      </w:r>
      <w:r w:rsidRPr="0018605E">
        <w:rPr>
          <w:rStyle w:val="Emphasis"/>
          <w:rFonts w:ascii="Arial" w:hAnsi="Arial" w:cs="Arial"/>
          <w:color w:val="222222"/>
        </w:rPr>
        <w:t>escape all these things</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The words, “that you may be counted worthy,” could be better translated, “</w:t>
      </w:r>
      <w:r w:rsidRPr="0018605E">
        <w:rPr>
          <w:rStyle w:val="Emphasis"/>
          <w:rFonts w:ascii="Arial" w:hAnsi="Arial" w:cs="Arial"/>
          <w:color w:val="222222"/>
        </w:rPr>
        <w:t xml:space="preserve">that you may prevail over </w:t>
      </w:r>
      <w:r w:rsidRPr="0018605E">
        <w:rPr>
          <w:rFonts w:ascii="Arial" w:hAnsi="Arial" w:cs="Arial"/>
          <w:color w:val="222222"/>
        </w:rPr>
        <w:t>[in the sense of being strong and winning a victory]”; and the words, “</w:t>
      </w:r>
      <w:r w:rsidRPr="0018605E">
        <w:rPr>
          <w:rStyle w:val="Emphasis"/>
          <w:rFonts w:ascii="Arial" w:hAnsi="Arial" w:cs="Arial"/>
          <w:color w:val="222222"/>
        </w:rPr>
        <w:t xml:space="preserve">escape </w:t>
      </w:r>
      <w:r w:rsidRPr="0018605E">
        <w:rPr>
          <w:rFonts w:ascii="Arial" w:hAnsi="Arial" w:cs="Arial"/>
          <w:color w:val="222222"/>
        </w:rPr>
        <w:t xml:space="preserve">[lit., ‘escape out of’] </w:t>
      </w:r>
      <w:r w:rsidRPr="0018605E">
        <w:rPr>
          <w:rStyle w:val="Emphasis"/>
          <w:rFonts w:ascii="Arial" w:hAnsi="Arial" w:cs="Arial"/>
          <w:color w:val="222222"/>
        </w:rPr>
        <w:t>all these things</w:t>
      </w:r>
      <w:r w:rsidRPr="0018605E">
        <w:rPr>
          <w:rFonts w:ascii="Arial" w:hAnsi="Arial" w:cs="Arial"/>
          <w:color w:val="222222"/>
        </w:rPr>
        <w:t xml:space="preserve">,” refer back to the immediate context, dealing with “surfeiting, and drunkenness, and cares of this life” (Luke 21:34-35). This verse is, thus, exhorting Christians to </w:t>
      </w:r>
      <w:r w:rsidRPr="0018605E">
        <w:rPr>
          <w:rStyle w:val="Emphasis"/>
          <w:rFonts w:ascii="Arial" w:hAnsi="Arial" w:cs="Arial"/>
          <w:color w:val="222222"/>
        </w:rPr>
        <w:t xml:space="preserve">watch and pray relative to deliverance from involvement in the ways and practices of the world </w:t>
      </w:r>
      <w:r w:rsidRPr="0018605E">
        <w:rPr>
          <w:rFonts w:ascii="Arial" w:hAnsi="Arial" w:cs="Arial"/>
          <w:color w:val="222222"/>
        </w:rPr>
        <w:t xml:space="preserve">(Ephesians 6:18; </w:t>
      </w:r>
      <w:r w:rsidRPr="0018605E">
        <w:rPr>
          <w:rStyle w:val="Emphasis"/>
          <w:rFonts w:ascii="Arial" w:hAnsi="Arial" w:cs="Arial"/>
          <w:color w:val="222222"/>
        </w:rPr>
        <w:t>cf.</w:t>
      </w:r>
      <w:r w:rsidRPr="0018605E">
        <w:rPr>
          <w:rFonts w:ascii="Arial" w:hAnsi="Arial" w:cs="Arial"/>
          <w:color w:val="222222"/>
        </w:rPr>
        <w:t xml:space="preserve"> Ephesians 6:10-17).</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Weymouth, in his translation of the New Testament, captures the correct thought from the Greek text about as well as any English version presently available (also see the NASB):</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222222"/>
        </w:rPr>
      </w:pPr>
      <w:r w:rsidRPr="0018605E">
        <w:rPr>
          <w:rStyle w:val="Emphasis"/>
          <w:rFonts w:ascii="Arial" w:hAnsi="Arial" w:cs="Arial"/>
          <w:color w:val="222222"/>
        </w:rPr>
        <w:t>Beware of slumbering; at all times pray that you may be fully strengthened to escape from all these coming evils, and to take your stand in the presence of the Son of Man.</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Note also Wuest’s “Expanded Translation”:</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222222"/>
        </w:rPr>
      </w:pPr>
      <w:r w:rsidRPr="0018605E">
        <w:rPr>
          <w:rStyle w:val="Emphasis"/>
          <w:rFonts w:ascii="Arial" w:hAnsi="Arial" w:cs="Arial"/>
          <w:color w:val="222222"/>
        </w:rPr>
        <w:t>But be circumspect, attentive, ready, in every season being in prayer, in order that you may have sufficient strength to be escaping all these things which are about to take place, and to stand before the Son of Man.</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The words “watch” and “pray” are in a present tense showing linear (continuous) action in the Greek text. The thought is that of Christians </w:t>
      </w:r>
      <w:r w:rsidRPr="0018605E">
        <w:rPr>
          <w:rStyle w:val="Emphasis"/>
          <w:rFonts w:ascii="Arial" w:hAnsi="Arial" w:cs="Arial"/>
          <w:color w:val="222222"/>
        </w:rPr>
        <w:t xml:space="preserve">continually watching </w:t>
      </w:r>
      <w:r w:rsidRPr="0018605E">
        <w:rPr>
          <w:rFonts w:ascii="Arial" w:hAnsi="Arial" w:cs="Arial"/>
          <w:color w:val="222222"/>
        </w:rPr>
        <w:t xml:space="preserve">(always being alert, on guard) and </w:t>
      </w:r>
      <w:r w:rsidRPr="0018605E">
        <w:rPr>
          <w:rStyle w:val="Emphasis"/>
          <w:rFonts w:ascii="Arial" w:hAnsi="Arial" w:cs="Arial"/>
          <w:color w:val="222222"/>
        </w:rPr>
        <w:t xml:space="preserve">continually praying </w:t>
      </w:r>
      <w:r w:rsidRPr="0018605E">
        <w:rPr>
          <w:rFonts w:ascii="Arial" w:hAnsi="Arial" w:cs="Arial"/>
          <w:color w:val="222222"/>
        </w:rPr>
        <w:t xml:space="preserve">for the strength necessary to </w:t>
      </w:r>
      <w:r w:rsidRPr="0018605E">
        <w:rPr>
          <w:rStyle w:val="Emphasis"/>
          <w:rFonts w:ascii="Arial" w:hAnsi="Arial" w:cs="Arial"/>
          <w:color w:val="222222"/>
        </w:rPr>
        <w:t>escape out of the ways and practices of the world</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“Escape out of” is the translation of an aorist infinitive in the Greek text, showing deliverance viewed as </w:t>
      </w:r>
      <w:r w:rsidRPr="0018605E">
        <w:rPr>
          <w:rStyle w:val="Emphasis"/>
          <w:rFonts w:ascii="Arial" w:hAnsi="Arial" w:cs="Arial"/>
          <w:color w:val="222222"/>
        </w:rPr>
        <w:t xml:space="preserve">eventual </w:t>
      </w:r>
      <w:r w:rsidRPr="0018605E">
        <w:rPr>
          <w:rFonts w:ascii="Arial" w:hAnsi="Arial" w:cs="Arial"/>
          <w:color w:val="222222"/>
        </w:rPr>
        <w:t>(</w:t>
      </w:r>
      <w:r w:rsidRPr="0018605E">
        <w:rPr>
          <w:rStyle w:val="Emphasis"/>
          <w:rFonts w:ascii="Arial" w:hAnsi="Arial" w:cs="Arial"/>
          <w:color w:val="222222"/>
        </w:rPr>
        <w:t>i.e.</w:t>
      </w:r>
      <w:r w:rsidRPr="0018605E">
        <w:rPr>
          <w:rFonts w:ascii="Arial" w:hAnsi="Arial" w:cs="Arial"/>
          <w:color w:val="222222"/>
        </w:rPr>
        <w:t xml:space="preserve">, viewed as the result of Christians continually watching and praying). And, viewed as </w:t>
      </w:r>
      <w:r w:rsidRPr="0018605E">
        <w:rPr>
          <w:rStyle w:val="Emphasis"/>
          <w:rFonts w:ascii="Arial" w:hAnsi="Arial" w:cs="Arial"/>
          <w:color w:val="222222"/>
        </w:rPr>
        <w:t xml:space="preserve">a whole </w:t>
      </w:r>
      <w:r w:rsidRPr="0018605E">
        <w:rPr>
          <w:rFonts w:ascii="Arial" w:hAnsi="Arial" w:cs="Arial"/>
          <w:color w:val="222222"/>
        </w:rPr>
        <w:t>(as in Weymouth’s translation), this deliverance would occur on particular occasions at different times.</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 xml:space="preserve">Contextually, this deliverance is not a </w:t>
      </w:r>
      <w:r w:rsidRPr="0018605E">
        <w:rPr>
          <w:rStyle w:val="Emphasis"/>
          <w:rFonts w:ascii="Arial" w:hAnsi="Arial" w:cs="Arial"/>
          <w:color w:val="222222"/>
        </w:rPr>
        <w:t xml:space="preserve">one-time event </w:t>
      </w:r>
      <w:r w:rsidRPr="0018605E">
        <w:rPr>
          <w:rFonts w:ascii="Arial" w:hAnsi="Arial" w:cs="Arial"/>
          <w:color w:val="222222"/>
        </w:rPr>
        <w:t xml:space="preserve">(as the rapture), but </w:t>
      </w:r>
      <w:r w:rsidRPr="0018605E">
        <w:rPr>
          <w:rStyle w:val="Emphasis"/>
          <w:rFonts w:ascii="Arial" w:hAnsi="Arial" w:cs="Arial"/>
          <w:color w:val="222222"/>
        </w:rPr>
        <w:t xml:space="preserve">repeated occurrences </w:t>
      </w:r>
      <w:r w:rsidRPr="0018605E">
        <w:rPr>
          <w:rFonts w:ascii="Arial" w:hAnsi="Arial" w:cs="Arial"/>
          <w:color w:val="222222"/>
        </w:rPr>
        <w:t xml:space="preserve">(as in Wuest’s translation). And the </w:t>
      </w:r>
      <w:r w:rsidRPr="0018605E">
        <w:rPr>
          <w:rStyle w:val="Emphasis"/>
          <w:rFonts w:ascii="Arial" w:hAnsi="Arial" w:cs="Arial"/>
          <w:color w:val="222222"/>
        </w:rPr>
        <w:t xml:space="preserve">goal of the entire process </w:t>
      </w:r>
      <w:r w:rsidRPr="0018605E">
        <w:rPr>
          <w:rFonts w:ascii="Arial" w:hAnsi="Arial" w:cs="Arial"/>
          <w:color w:val="222222"/>
        </w:rPr>
        <w:t>is Christians ultimately being privileged to “</w:t>
      </w:r>
      <w:r w:rsidRPr="0018605E">
        <w:rPr>
          <w:rStyle w:val="Emphasis"/>
          <w:rFonts w:ascii="Arial" w:hAnsi="Arial" w:cs="Arial"/>
          <w:color w:val="222222"/>
        </w:rPr>
        <w:t>stand before the Son of Man</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w:t>
      </w:r>
      <w:r w:rsidRPr="0018605E">
        <w:rPr>
          <w:rStyle w:val="Emphasis"/>
          <w:rFonts w:ascii="Arial" w:hAnsi="Arial" w:cs="Arial"/>
          <w:color w:val="222222"/>
        </w:rPr>
        <w:t xml:space="preserve">Aorist </w:t>
      </w:r>
      <w:r w:rsidRPr="0018605E">
        <w:rPr>
          <w:rFonts w:ascii="Arial" w:hAnsi="Arial" w:cs="Arial"/>
          <w:color w:val="222222"/>
        </w:rPr>
        <w:t xml:space="preserve">and </w:t>
      </w:r>
      <w:r w:rsidRPr="0018605E">
        <w:rPr>
          <w:rStyle w:val="Emphasis"/>
          <w:rFonts w:ascii="Arial" w:hAnsi="Arial" w:cs="Arial"/>
          <w:color w:val="222222"/>
        </w:rPr>
        <w:t xml:space="preserve">present tenses </w:t>
      </w:r>
      <w:r w:rsidRPr="0018605E">
        <w:rPr>
          <w:rFonts w:ascii="Arial" w:hAnsi="Arial" w:cs="Arial"/>
          <w:color w:val="222222"/>
        </w:rPr>
        <w:t>in the Greek text are often misunderstood and misused. In fact, a lot of false doctrine has resulted from a misunderstanding and misuse of these tenses.</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 xml:space="preserve">The word “aorist” is simply an anglicized Greek word, </w:t>
      </w:r>
      <w:r w:rsidRPr="0018605E">
        <w:rPr>
          <w:rStyle w:val="Emphasis"/>
          <w:rFonts w:ascii="Arial" w:hAnsi="Arial" w:cs="Arial"/>
          <w:color w:val="222222"/>
        </w:rPr>
        <w:t>aoratos</w:t>
      </w:r>
      <w:r w:rsidRPr="0018605E">
        <w:rPr>
          <w:rFonts w:ascii="Arial" w:hAnsi="Arial" w:cs="Arial"/>
          <w:color w:val="222222"/>
        </w:rPr>
        <w:t>, which means “unseen,” “invisible” [</w:t>
      </w:r>
      <w:r w:rsidRPr="0018605E">
        <w:rPr>
          <w:rStyle w:val="Emphasis"/>
          <w:rFonts w:ascii="Arial" w:hAnsi="Arial" w:cs="Arial"/>
          <w:color w:val="222222"/>
        </w:rPr>
        <w:t xml:space="preserve">aoratos </w:t>
      </w:r>
      <w:r w:rsidRPr="0018605E">
        <w:rPr>
          <w:rFonts w:ascii="Arial" w:hAnsi="Arial" w:cs="Arial"/>
          <w:color w:val="222222"/>
        </w:rPr>
        <w:t xml:space="preserve">is the word </w:t>
      </w:r>
      <w:r w:rsidRPr="0018605E">
        <w:rPr>
          <w:rStyle w:val="Emphasis"/>
          <w:rFonts w:ascii="Arial" w:hAnsi="Arial" w:cs="Arial"/>
          <w:color w:val="222222"/>
        </w:rPr>
        <w:t>horatos</w:t>
      </w:r>
      <w:r w:rsidRPr="0018605E">
        <w:rPr>
          <w:rFonts w:ascii="Arial" w:hAnsi="Arial" w:cs="Arial"/>
          <w:color w:val="222222"/>
        </w:rPr>
        <w:t xml:space="preserve">, meaning “to see,” negated by the prefix “a,” making the word </w:t>
      </w:r>
      <w:r w:rsidRPr="0018605E">
        <w:rPr>
          <w:rStyle w:val="Emphasis"/>
          <w:rFonts w:ascii="Arial" w:hAnsi="Arial" w:cs="Arial"/>
          <w:color w:val="222222"/>
        </w:rPr>
        <w:t xml:space="preserve">aoratos </w:t>
      </w:r>
      <w:r w:rsidRPr="0018605E">
        <w:rPr>
          <w:rFonts w:ascii="Arial" w:hAnsi="Arial" w:cs="Arial"/>
          <w:color w:val="222222"/>
        </w:rPr>
        <w:t>mean just the opposite — “not to see”]. And this word, used relative to “tense” in Greek grammar, refers to the “action” of the verb [unseen action].</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 xml:space="preserve">Action in the </w:t>
      </w:r>
      <w:r w:rsidRPr="0018605E">
        <w:rPr>
          <w:rStyle w:val="Emphasis"/>
          <w:rFonts w:ascii="Arial" w:hAnsi="Arial" w:cs="Arial"/>
          <w:color w:val="222222"/>
        </w:rPr>
        <w:t xml:space="preserve">aorist </w:t>
      </w:r>
      <w:r w:rsidRPr="0018605E">
        <w:rPr>
          <w:rFonts w:ascii="Arial" w:hAnsi="Arial" w:cs="Arial"/>
          <w:color w:val="222222"/>
        </w:rPr>
        <w:t xml:space="preserve">tense is presented simply as occurring, without reference to its progress [which, from the verb itself, cannot be seen]. And this action, seen contextually, can be very </w:t>
      </w:r>
      <w:r w:rsidRPr="0018605E">
        <w:rPr>
          <w:rStyle w:val="Emphasis"/>
          <w:rFonts w:ascii="Arial" w:hAnsi="Arial" w:cs="Arial"/>
          <w:color w:val="222222"/>
        </w:rPr>
        <w:t xml:space="preserve">linear </w:t>
      </w:r>
      <w:r w:rsidRPr="0018605E">
        <w:rPr>
          <w:rFonts w:ascii="Arial" w:hAnsi="Arial" w:cs="Arial"/>
          <w:color w:val="222222"/>
        </w:rPr>
        <w:t xml:space="preserve">[continuous, occurring over time] or </w:t>
      </w:r>
      <w:r w:rsidRPr="0018605E">
        <w:rPr>
          <w:rStyle w:val="Emphasis"/>
          <w:rFonts w:ascii="Arial" w:hAnsi="Arial" w:cs="Arial"/>
          <w:color w:val="222222"/>
        </w:rPr>
        <w:t>punctiliar</w:t>
      </w:r>
      <w:r w:rsidRPr="0018605E">
        <w:rPr>
          <w:rStyle w:val="Strong"/>
          <w:rFonts w:ascii="Arial" w:hAnsi="Arial" w:cs="Arial"/>
          <w:i/>
          <w:iCs/>
          <w:color w:val="0000CC"/>
        </w:rPr>
        <w:t>**</w:t>
      </w:r>
      <w:r w:rsidRPr="0018605E">
        <w:rPr>
          <w:rStyle w:val="Emphasis"/>
          <w:rFonts w:ascii="Arial" w:hAnsi="Arial" w:cs="Arial"/>
          <w:color w:val="222222"/>
        </w:rPr>
        <w:t xml:space="preserve"> </w:t>
      </w:r>
      <w:r w:rsidRPr="0018605E">
        <w:rPr>
          <w:rFonts w:ascii="Arial" w:hAnsi="Arial" w:cs="Arial"/>
          <w:color w:val="222222"/>
        </w:rPr>
        <w:t>[occurring at one or more points in time].</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21374F">
      <w:pPr>
        <w:pStyle w:val="NormalWeb"/>
        <w:shd w:val="clear" w:color="auto" w:fill="FFFFFF"/>
        <w:ind w:left="1440"/>
        <w:jc w:val="both"/>
        <w:textAlignment w:val="top"/>
        <w:rPr>
          <w:rFonts w:ascii="Arial" w:hAnsi="Arial" w:cs="Arial"/>
          <w:color w:val="222222"/>
        </w:rPr>
      </w:pPr>
      <w:r w:rsidRPr="0018605E">
        <w:rPr>
          <w:rFonts w:ascii="Arial" w:hAnsi="Arial" w:cs="Arial"/>
          <w:color w:val="222222"/>
        </w:rPr>
        <w:t xml:space="preserve">[A misunderstanding and misuse of the aorist tense usually occurs by attempting </w:t>
      </w:r>
      <w:r w:rsidRPr="0018605E">
        <w:rPr>
          <w:rStyle w:val="Emphasis"/>
          <w:rFonts w:ascii="Arial" w:hAnsi="Arial" w:cs="Arial"/>
          <w:color w:val="222222"/>
        </w:rPr>
        <w:t>to see what the meaning of the name of the tense itself clearly states can’t be seen — action occurring, which is invariably and erroneously viewed as punctiliar</w:t>
      </w:r>
      <w:r w:rsidRPr="0018605E">
        <w:rPr>
          <w:rFonts w:ascii="Arial" w:hAnsi="Arial" w:cs="Arial"/>
          <w:color w:val="222222"/>
        </w:rPr>
        <w:t>.</w:t>
      </w:r>
    </w:p>
    <w:p w:rsidR="00D11C95" w:rsidRPr="0018605E" w:rsidRDefault="00D11C95" w:rsidP="0021374F">
      <w:pPr>
        <w:pStyle w:val="NormalWeb"/>
        <w:shd w:val="clear" w:color="auto" w:fill="FFFFFF"/>
        <w:ind w:left="1440"/>
        <w:jc w:val="both"/>
        <w:textAlignment w:val="top"/>
        <w:rPr>
          <w:rFonts w:ascii="Arial" w:hAnsi="Arial" w:cs="Arial"/>
          <w:color w:val="222222"/>
        </w:rPr>
      </w:pPr>
    </w:p>
    <w:p w:rsidR="009D74AC" w:rsidRPr="0018605E" w:rsidRDefault="009D74AC" w:rsidP="0021374F">
      <w:pPr>
        <w:pStyle w:val="NormalWeb"/>
        <w:shd w:val="clear" w:color="auto" w:fill="FFFFFF"/>
        <w:ind w:left="1440"/>
        <w:jc w:val="both"/>
        <w:textAlignment w:val="top"/>
        <w:rPr>
          <w:rFonts w:ascii="Arial" w:hAnsi="Arial" w:cs="Arial"/>
          <w:color w:val="222222"/>
        </w:rPr>
      </w:pPr>
      <w:r w:rsidRPr="0018605E">
        <w:rPr>
          <w:rFonts w:ascii="Arial" w:hAnsi="Arial" w:cs="Arial"/>
          <w:color w:val="222222"/>
        </w:rPr>
        <w:t xml:space="preserve">This action is represented on paper [in grammar books] by a </w:t>
      </w:r>
      <w:r w:rsidRPr="0018605E">
        <w:rPr>
          <w:rStyle w:val="Emphasis"/>
          <w:rFonts w:ascii="Arial" w:hAnsi="Arial" w:cs="Arial"/>
          <w:color w:val="222222"/>
        </w:rPr>
        <w:t>dot</w:t>
      </w:r>
      <w:r w:rsidRPr="0018605E">
        <w:rPr>
          <w:rFonts w:ascii="Arial" w:hAnsi="Arial" w:cs="Arial"/>
          <w:color w:val="222222"/>
        </w:rPr>
        <w:t xml:space="preserve">, simply because it can’t be seen to describe the type of action (whether linear or punctiliar). And </w:t>
      </w:r>
      <w:r w:rsidRPr="0018605E">
        <w:rPr>
          <w:rStyle w:val="Emphasis"/>
          <w:rFonts w:ascii="Arial" w:hAnsi="Arial" w:cs="Arial"/>
          <w:color w:val="222222"/>
        </w:rPr>
        <w:t xml:space="preserve">this dot </w:t>
      </w:r>
      <w:r w:rsidRPr="0018605E">
        <w:rPr>
          <w:rFonts w:ascii="Arial" w:hAnsi="Arial" w:cs="Arial"/>
          <w:color w:val="222222"/>
        </w:rPr>
        <w:t xml:space="preserve">is what often misleads people, thinking that punctiliar action is being described by </w:t>
      </w:r>
      <w:r w:rsidRPr="0018605E">
        <w:rPr>
          <w:rStyle w:val="Emphasis"/>
          <w:rFonts w:ascii="Arial" w:hAnsi="Arial" w:cs="Arial"/>
          <w:color w:val="222222"/>
        </w:rPr>
        <w:t>the dot</w:t>
      </w:r>
      <w:r w:rsidRPr="0018605E">
        <w:rPr>
          <w:rFonts w:ascii="Arial" w:hAnsi="Arial" w:cs="Arial"/>
          <w:color w:val="222222"/>
        </w:rPr>
        <w:t>, which isn’t the case at all].</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 xml:space="preserve">On the other hand, </w:t>
      </w:r>
      <w:r w:rsidRPr="0018605E">
        <w:rPr>
          <w:rStyle w:val="Emphasis"/>
          <w:rFonts w:ascii="Arial" w:hAnsi="Arial" w:cs="Arial"/>
          <w:color w:val="222222"/>
        </w:rPr>
        <w:t>the present tense</w:t>
      </w:r>
      <w:r w:rsidRPr="0018605E">
        <w:rPr>
          <w:rFonts w:ascii="Arial" w:hAnsi="Arial" w:cs="Arial"/>
          <w:color w:val="222222"/>
        </w:rPr>
        <w:t xml:space="preserve">, where action is seen, serves </w:t>
      </w:r>
      <w:r w:rsidRPr="0018605E">
        <w:rPr>
          <w:rStyle w:val="Emphasis"/>
          <w:rFonts w:ascii="Arial" w:hAnsi="Arial" w:cs="Arial"/>
          <w:color w:val="222222"/>
        </w:rPr>
        <w:t xml:space="preserve">to show both linear </w:t>
      </w:r>
      <w:r w:rsidRPr="0018605E">
        <w:rPr>
          <w:rFonts w:ascii="Arial" w:hAnsi="Arial" w:cs="Arial"/>
          <w:color w:val="222222"/>
        </w:rPr>
        <w:t xml:space="preserve">and </w:t>
      </w:r>
      <w:r w:rsidRPr="0018605E">
        <w:rPr>
          <w:rStyle w:val="Emphasis"/>
          <w:rFonts w:ascii="Arial" w:hAnsi="Arial" w:cs="Arial"/>
          <w:color w:val="222222"/>
        </w:rPr>
        <w:t xml:space="preserve">punctiliar </w:t>
      </w:r>
      <w:r w:rsidRPr="0018605E">
        <w:rPr>
          <w:rFonts w:ascii="Arial" w:hAnsi="Arial" w:cs="Arial"/>
          <w:color w:val="222222"/>
        </w:rPr>
        <w:t xml:space="preserve">action. The general rule is that if punctiliar action is </w:t>
      </w:r>
      <w:r w:rsidRPr="0018605E">
        <w:rPr>
          <w:rStyle w:val="Emphasis"/>
          <w:rFonts w:ascii="Arial" w:hAnsi="Arial" w:cs="Arial"/>
          <w:color w:val="222222"/>
        </w:rPr>
        <w:t xml:space="preserve">not shown </w:t>
      </w:r>
      <w:r w:rsidRPr="0018605E">
        <w:rPr>
          <w:rFonts w:ascii="Arial" w:hAnsi="Arial" w:cs="Arial"/>
          <w:color w:val="222222"/>
        </w:rPr>
        <w:t xml:space="preserve">by the context, then </w:t>
      </w:r>
      <w:r w:rsidRPr="0018605E">
        <w:rPr>
          <w:rStyle w:val="Emphasis"/>
          <w:rFonts w:ascii="Arial" w:hAnsi="Arial" w:cs="Arial"/>
          <w:color w:val="222222"/>
        </w:rPr>
        <w:t xml:space="preserve">linear action </w:t>
      </w:r>
      <w:r w:rsidRPr="0018605E">
        <w:rPr>
          <w:rFonts w:ascii="Arial" w:hAnsi="Arial" w:cs="Arial"/>
          <w:color w:val="222222"/>
        </w:rPr>
        <w:t>is to be understood.</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For example, “</w:t>
      </w:r>
      <w:r w:rsidRPr="0018605E">
        <w:rPr>
          <w:rStyle w:val="Emphasis"/>
          <w:rFonts w:ascii="Arial" w:hAnsi="Arial" w:cs="Arial"/>
          <w:color w:val="222222"/>
        </w:rPr>
        <w:t>believes</w:t>
      </w:r>
      <w:r w:rsidRPr="0018605E">
        <w:rPr>
          <w:rFonts w:ascii="Arial" w:hAnsi="Arial" w:cs="Arial"/>
          <w:color w:val="222222"/>
        </w:rPr>
        <w:t xml:space="preserve">” in John 3:15-16 is the translation of a present participle in the Greek text; and, except for the context [John 3:14], the word in both verses would be understood in a </w:t>
      </w:r>
      <w:r w:rsidRPr="0018605E">
        <w:rPr>
          <w:rStyle w:val="Emphasis"/>
          <w:rFonts w:ascii="Arial" w:hAnsi="Arial" w:cs="Arial"/>
          <w:color w:val="222222"/>
        </w:rPr>
        <w:t>linear respect</w:t>
      </w:r>
      <w:r w:rsidRPr="0018605E">
        <w:rPr>
          <w:rFonts w:ascii="Arial" w:hAnsi="Arial" w:cs="Arial"/>
          <w:color w:val="222222"/>
        </w:rPr>
        <w:t xml:space="preserve">. The context though shows that both words are to be understood as </w:t>
      </w:r>
      <w:r w:rsidRPr="0018605E">
        <w:rPr>
          <w:rStyle w:val="Emphasis"/>
          <w:rFonts w:ascii="Arial" w:hAnsi="Arial" w:cs="Arial"/>
          <w:color w:val="222222"/>
        </w:rPr>
        <w:t xml:space="preserve">punctiliar </w:t>
      </w:r>
      <w:r w:rsidRPr="0018605E">
        <w:rPr>
          <w:rFonts w:ascii="Arial" w:hAnsi="Arial" w:cs="Arial"/>
          <w:color w:val="222222"/>
        </w:rPr>
        <w:t xml:space="preserve">— </w:t>
      </w:r>
      <w:r w:rsidRPr="0018605E">
        <w:rPr>
          <w:rStyle w:val="Emphasis"/>
          <w:rFonts w:ascii="Arial" w:hAnsi="Arial" w:cs="Arial"/>
          <w:color w:val="222222"/>
        </w:rPr>
        <w:t>i.e.</w:t>
      </w:r>
      <w:r w:rsidRPr="0018605E">
        <w:rPr>
          <w:rFonts w:ascii="Arial" w:hAnsi="Arial" w:cs="Arial"/>
          <w:color w:val="222222"/>
        </w:rPr>
        <w:t>, simply believe at a point in time, not keep on believing [</w:t>
      </w:r>
      <w:r w:rsidRPr="0018605E">
        <w:rPr>
          <w:rStyle w:val="Emphasis"/>
          <w:rFonts w:ascii="Arial" w:hAnsi="Arial" w:cs="Arial"/>
          <w:color w:val="222222"/>
        </w:rPr>
        <w:t>it was look and live in the type</w:t>
      </w:r>
      <w:r w:rsidRPr="0018605E">
        <w:rPr>
          <w:rFonts w:ascii="Arial" w:hAnsi="Arial" w:cs="Arial"/>
          <w:color w:val="222222"/>
        </w:rPr>
        <w:t xml:space="preserve"> (John 3:14), and it is, as well (it cannot be any other way) </w:t>
      </w:r>
      <w:r w:rsidRPr="0018605E">
        <w:rPr>
          <w:rStyle w:val="Emphasis"/>
          <w:rFonts w:ascii="Arial" w:hAnsi="Arial" w:cs="Arial"/>
          <w:color w:val="222222"/>
        </w:rPr>
        <w:t xml:space="preserve">look and live in the antitype </w:t>
      </w:r>
      <w:r w:rsidRPr="0018605E">
        <w:rPr>
          <w:rFonts w:ascii="Arial" w:hAnsi="Arial" w:cs="Arial"/>
          <w:color w:val="222222"/>
        </w:rPr>
        <w:t>(John 3:15-16)].</w:t>
      </w:r>
    </w:p>
    <w:p w:rsidR="00D11C95" w:rsidRPr="0018605E" w:rsidRDefault="00D11C95" w:rsidP="004005B2">
      <w:pPr>
        <w:pStyle w:val="NormalWeb"/>
        <w:shd w:val="clear" w:color="auto" w:fill="FFFFFF"/>
        <w:ind w:left="720"/>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Then note “</w:t>
      </w:r>
      <w:r w:rsidRPr="0018605E">
        <w:rPr>
          <w:rStyle w:val="Emphasis"/>
          <w:rFonts w:ascii="Arial" w:hAnsi="Arial" w:cs="Arial"/>
          <w:color w:val="222222"/>
        </w:rPr>
        <w:t>believes</w:t>
      </w:r>
      <w:r w:rsidRPr="0018605E">
        <w:rPr>
          <w:rFonts w:ascii="Arial" w:hAnsi="Arial" w:cs="Arial"/>
          <w:color w:val="222222"/>
        </w:rPr>
        <w:t xml:space="preserve">” in Romans 1:16, also the translation of a present participle in the Greek text. But this time the context doesn’t show that the present tense is to be </w:t>
      </w:r>
      <w:r w:rsidRPr="0018605E">
        <w:rPr>
          <w:rStyle w:val="Emphasis"/>
          <w:rFonts w:ascii="Arial" w:hAnsi="Arial" w:cs="Arial"/>
          <w:color w:val="222222"/>
        </w:rPr>
        <w:t>understood any way other than linear</w:t>
      </w:r>
      <w:r w:rsidRPr="0018605E">
        <w:rPr>
          <w:rFonts w:ascii="Arial" w:hAnsi="Arial" w:cs="Arial"/>
          <w:color w:val="222222"/>
        </w:rPr>
        <w:t xml:space="preserve">. Thus, the thought presented in the verse would be to </w:t>
      </w:r>
      <w:r w:rsidRPr="0018605E">
        <w:rPr>
          <w:rStyle w:val="Emphasis"/>
          <w:rFonts w:ascii="Arial" w:hAnsi="Arial" w:cs="Arial"/>
          <w:color w:val="222222"/>
        </w:rPr>
        <w:t>keep on believing</w:t>
      </w:r>
      <w:r w:rsidRPr="0018605E">
        <w:rPr>
          <w:rFonts w:ascii="Arial" w:hAnsi="Arial" w:cs="Arial"/>
          <w:color w:val="222222"/>
        </w:rPr>
        <w:t xml:space="preserve">, </w:t>
      </w:r>
      <w:r w:rsidRPr="0018605E">
        <w:rPr>
          <w:rStyle w:val="Emphasis"/>
          <w:rFonts w:ascii="Arial" w:hAnsi="Arial" w:cs="Arial"/>
          <w:color w:val="222222"/>
        </w:rPr>
        <w:t xml:space="preserve">keep on exercising faith </w:t>
      </w:r>
      <w:r w:rsidRPr="0018605E">
        <w:rPr>
          <w:rFonts w:ascii="Arial" w:hAnsi="Arial" w:cs="Arial"/>
          <w:color w:val="222222"/>
        </w:rPr>
        <w:t>[note, contextually, that this verse has nothing to do with eternal salvation; rather, it has to do with belief, faith, exercised by those who are already saved].)</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Style w:val="Emphasis"/>
          <w:rFonts w:ascii="Arial" w:hAnsi="Arial" w:cs="Arial"/>
          <w:color w:val="222222"/>
        </w:rPr>
        <w:t xml:space="preserve">Standing before, or in the presence of, the Son of Man </w:t>
      </w:r>
      <w:r w:rsidRPr="0018605E">
        <w:rPr>
          <w:rFonts w:ascii="Arial" w:hAnsi="Arial" w:cs="Arial"/>
          <w:color w:val="222222"/>
        </w:rPr>
        <w:t xml:space="preserve">in the passage from Luke’s account of the Olivet Discourse (Luke 21:34-36) is synonymous with being </w:t>
      </w:r>
      <w:r w:rsidRPr="0018605E">
        <w:rPr>
          <w:rStyle w:val="Emphasis"/>
          <w:rFonts w:ascii="Arial" w:hAnsi="Arial" w:cs="Arial"/>
          <w:color w:val="222222"/>
        </w:rPr>
        <w:t xml:space="preserve">received in an intimate manner by the Lord </w:t>
      </w:r>
      <w:r w:rsidRPr="0018605E">
        <w:rPr>
          <w:rFonts w:ascii="Arial" w:hAnsi="Arial" w:cs="Arial"/>
          <w:color w:val="222222"/>
        </w:rPr>
        <w:t>in the parallel section in Matthew’s account of the Olivet Discourse (Matthew 24:40-44).</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The thought is presented another way in Psalms 24:3-4:</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4005B2">
      <w:pPr>
        <w:pStyle w:val="NormalWeb"/>
        <w:shd w:val="clear" w:color="auto" w:fill="FFFFFF"/>
        <w:ind w:left="720"/>
        <w:jc w:val="both"/>
        <w:textAlignment w:val="top"/>
        <w:rPr>
          <w:rStyle w:val="Emphasis"/>
          <w:rFonts w:ascii="Arial" w:hAnsi="Arial" w:cs="Arial"/>
          <w:color w:val="222222"/>
        </w:rPr>
      </w:pPr>
      <w:r w:rsidRPr="0018605E">
        <w:rPr>
          <w:rStyle w:val="Emphasis"/>
          <w:rFonts w:ascii="Arial" w:hAnsi="Arial" w:cs="Arial"/>
          <w:color w:val="222222"/>
        </w:rPr>
        <w:t>Who may ascend into the hill of the LORD? Or who may stand in His holy place? He who has clean hands and a pure heart, who has not lifted up his soul to an idol, nor sworn deceitfully.</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D11C95">
      <w:pPr>
        <w:pStyle w:val="NormalWeb"/>
        <w:shd w:val="clear" w:color="auto" w:fill="FFFFFF"/>
        <w:jc w:val="both"/>
        <w:textAlignment w:val="top"/>
        <w:rPr>
          <w:rFonts w:ascii="Arial" w:hAnsi="Arial" w:cs="Arial"/>
          <w:color w:val="222222"/>
        </w:rPr>
      </w:pPr>
      <w:r w:rsidRPr="0018605E">
        <w:rPr>
          <w:rFonts w:ascii="Arial" w:hAnsi="Arial" w:cs="Arial"/>
          <w:color w:val="222222"/>
        </w:rPr>
        <w:t>Psalm chapter twenty-four is a Messianic Psalm; and the expression, “</w:t>
      </w:r>
      <w:r w:rsidRPr="0018605E">
        <w:rPr>
          <w:rStyle w:val="Emphasis"/>
          <w:rFonts w:ascii="Arial" w:hAnsi="Arial" w:cs="Arial"/>
          <w:color w:val="222222"/>
        </w:rPr>
        <w:t>to stand before the Son of Man</w:t>
      </w:r>
      <w:r w:rsidRPr="0018605E">
        <w:rPr>
          <w:rFonts w:ascii="Arial" w:hAnsi="Arial" w:cs="Arial"/>
          <w:color w:val="222222"/>
        </w:rPr>
        <w:t xml:space="preserve">” in Luke 21:36, is Messianic as well. </w:t>
      </w:r>
      <w:r w:rsidRPr="0018605E">
        <w:rPr>
          <w:rStyle w:val="Emphasis"/>
          <w:rFonts w:ascii="Arial" w:hAnsi="Arial" w:cs="Arial"/>
          <w:color w:val="222222"/>
        </w:rPr>
        <w:t>Ascending</w:t>
      </w:r>
      <w:r w:rsidRPr="0018605E">
        <w:rPr>
          <w:rFonts w:ascii="Arial" w:hAnsi="Arial" w:cs="Arial"/>
          <w:color w:val="222222"/>
        </w:rPr>
        <w:t xml:space="preserve"> “</w:t>
      </w:r>
      <w:r w:rsidRPr="0018605E">
        <w:rPr>
          <w:rStyle w:val="Emphasis"/>
          <w:rFonts w:ascii="Arial" w:hAnsi="Arial" w:cs="Arial"/>
          <w:color w:val="222222"/>
        </w:rPr>
        <w:t xml:space="preserve">the hill </w:t>
      </w:r>
      <w:r w:rsidRPr="0018605E">
        <w:rPr>
          <w:rFonts w:ascii="Arial" w:hAnsi="Arial" w:cs="Arial"/>
          <w:color w:val="222222"/>
        </w:rPr>
        <w:t xml:space="preserve">[referring to the ‘kingdom’; note Psalms 2:6] of the Lord” or </w:t>
      </w:r>
      <w:r w:rsidRPr="0018605E">
        <w:rPr>
          <w:rStyle w:val="Emphasis"/>
          <w:rFonts w:ascii="Arial" w:hAnsi="Arial" w:cs="Arial"/>
          <w:color w:val="222222"/>
        </w:rPr>
        <w:t xml:space="preserve">standing “before the Son of Man” </w:t>
      </w:r>
      <w:r w:rsidRPr="0018605E">
        <w:rPr>
          <w:rFonts w:ascii="Arial" w:hAnsi="Arial" w:cs="Arial"/>
          <w:color w:val="222222"/>
        </w:rPr>
        <w:t>are reserved for “associates” or “companions” who will rule as co-heirs with Christ (</w:t>
      </w:r>
      <w:r w:rsidRPr="0018605E">
        <w:rPr>
          <w:rStyle w:val="Emphasis"/>
          <w:rFonts w:ascii="Arial" w:hAnsi="Arial" w:cs="Arial"/>
          <w:color w:val="222222"/>
        </w:rPr>
        <w:t>cf.</w:t>
      </w:r>
      <w:r w:rsidRPr="0018605E">
        <w:rPr>
          <w:rFonts w:ascii="Arial" w:hAnsi="Arial" w:cs="Arial"/>
          <w:color w:val="222222"/>
        </w:rPr>
        <w:t xml:space="preserve"> Hebrews 1:9; 3:1, 14; “fellows” [Hebrews 1:9, KJV] and “partakers” [Hebrews 3:1, 14] are translations of the same Greek word [</w:t>
      </w:r>
      <w:r w:rsidRPr="0018605E">
        <w:rPr>
          <w:rStyle w:val="Emphasis"/>
          <w:rFonts w:ascii="Arial" w:hAnsi="Arial" w:cs="Arial"/>
          <w:color w:val="222222"/>
        </w:rPr>
        <w:t>metochoi</w:t>
      </w:r>
      <w:r w:rsidRPr="0018605E">
        <w:rPr>
          <w:rFonts w:ascii="Arial" w:hAnsi="Arial" w:cs="Arial"/>
          <w:color w:val="222222"/>
        </w:rPr>
        <w:t>], which could be better rendered, “associates” or “companions”).</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Pr="0018605E" w:rsidRDefault="009D74AC" w:rsidP="0018605E">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(A similar statement to that which is seen in Luke 21:36 is seen in God’s promise to those in the Church in Philadelphia, in Revelation 3:10 — “</w:t>
      </w:r>
      <w:r w:rsidRPr="0018605E">
        <w:rPr>
          <w:rStyle w:val="Emphasis"/>
          <w:rFonts w:ascii="Arial" w:hAnsi="Arial" w:cs="Arial"/>
          <w:color w:val="222222"/>
        </w:rPr>
        <w:t>I also will keep you from the hour of trial</w:t>
      </w:r>
      <w:r w:rsidRPr="0018605E">
        <w:rPr>
          <w:rFonts w:ascii="Arial" w:hAnsi="Arial" w:cs="Arial"/>
          <w:color w:val="222222"/>
        </w:rPr>
        <w:t>.”</w:t>
      </w:r>
    </w:p>
    <w:p w:rsidR="00D11C95" w:rsidRPr="0018605E" w:rsidRDefault="00D11C95" w:rsidP="0018605E">
      <w:pPr>
        <w:pStyle w:val="NormalWeb"/>
        <w:shd w:val="clear" w:color="auto" w:fill="FFFFFF"/>
        <w:ind w:left="720"/>
        <w:jc w:val="both"/>
        <w:textAlignment w:val="top"/>
        <w:rPr>
          <w:rFonts w:ascii="Arial" w:hAnsi="Arial" w:cs="Arial"/>
          <w:color w:val="222222"/>
        </w:rPr>
      </w:pPr>
    </w:p>
    <w:p w:rsidR="009D74AC" w:rsidRPr="0018605E" w:rsidRDefault="009D74AC" w:rsidP="0018605E">
      <w:pPr>
        <w:pStyle w:val="NormalWeb"/>
        <w:shd w:val="clear" w:color="auto" w:fill="FFFFFF"/>
        <w:ind w:left="720"/>
        <w:jc w:val="both"/>
        <w:textAlignment w:val="top"/>
        <w:rPr>
          <w:rFonts w:ascii="Arial" w:hAnsi="Arial" w:cs="Arial"/>
          <w:color w:val="222222"/>
        </w:rPr>
      </w:pPr>
      <w:r w:rsidRPr="0018605E">
        <w:rPr>
          <w:rFonts w:ascii="Arial" w:hAnsi="Arial" w:cs="Arial"/>
          <w:color w:val="222222"/>
        </w:rPr>
        <w:t xml:space="preserve">For information on this verse (Rev. 3:10), refer to Chapter 10, “A Pillar, A City,” in the author’s book, </w:t>
      </w:r>
      <w:hyperlink r:id="rId6" w:history="1">
        <w:r w:rsidRPr="0018605E">
          <w:rPr>
            <w:rStyle w:val="Hyperlink"/>
            <w:rFonts w:ascii="Arial" w:eastAsiaTheme="minorHAnsi" w:hAnsi="Arial" w:cs="Arial"/>
            <w:color w:val="1F497D" w:themeColor="text2"/>
          </w:rPr>
          <w:t>Bible One - Arlen Chitwood's Judgment Seat of Christ, Ch. 10</w:t>
        </w:r>
      </w:hyperlink>
      <w:r w:rsidRPr="0018605E">
        <w:rPr>
          <w:rFonts w:ascii="Arial" w:eastAsiaTheme="minorHAnsi" w:hAnsi="Arial" w:cs="Arial"/>
          <w:color w:val="000000"/>
        </w:rPr>
        <w:t>.</w:t>
      </w:r>
      <w:r w:rsidRPr="0018605E">
        <w:rPr>
          <w:rFonts w:ascii="Arial" w:hAnsi="Arial" w:cs="Arial"/>
          <w:color w:val="222222"/>
        </w:rPr>
        <w:t>)</w:t>
      </w:r>
    </w:p>
    <w:p w:rsidR="00D11C95" w:rsidRPr="0018605E" w:rsidRDefault="00D11C95" w:rsidP="00D11C95">
      <w:pPr>
        <w:pStyle w:val="NormalWeb"/>
        <w:shd w:val="clear" w:color="auto" w:fill="FFFFFF"/>
        <w:jc w:val="both"/>
        <w:textAlignment w:val="top"/>
        <w:rPr>
          <w:rFonts w:ascii="Arial" w:hAnsi="Arial" w:cs="Arial"/>
          <w:color w:val="222222"/>
        </w:rPr>
      </w:pPr>
    </w:p>
    <w:p w:rsidR="009D74AC" w:rsidRDefault="009D74AC" w:rsidP="00D11C95">
      <w:pPr>
        <w:pStyle w:val="NormalWeb"/>
        <w:shd w:val="clear" w:color="auto" w:fill="FFFFFF"/>
        <w:jc w:val="both"/>
        <w:textAlignment w:val="top"/>
        <w:rPr>
          <w:rFonts w:ascii="Arial" w:hAnsi="Arial" w:cs="Arial"/>
          <w:color w:val="222222"/>
        </w:rPr>
      </w:pPr>
      <w:r>
        <w:rPr>
          <w:rStyle w:val="Strong"/>
          <w:rFonts w:ascii="Arial" w:hAnsi="Arial" w:cs="Arial"/>
          <w:color w:val="0000CC"/>
          <w:sz w:val="27"/>
          <w:szCs w:val="27"/>
        </w:rPr>
        <w:t>**</w:t>
      </w:r>
      <w:r>
        <w:rPr>
          <w:rFonts w:ascii="Arial" w:hAnsi="Arial" w:cs="Arial"/>
          <w:color w:val="222222"/>
        </w:rPr>
        <w:t xml:space="preserve"> </w:t>
      </w:r>
      <w:hyperlink r:id="rId7" w:history="1">
        <w:r w:rsidRPr="00141AEF">
          <w:rPr>
            <w:rStyle w:val="Hyperlink"/>
            <w:rFonts w:ascii="Arial" w:eastAsiaTheme="minorHAnsi" w:hAnsi="Arial" w:cs="Arial"/>
            <w:color w:val="1F497D" w:themeColor="text2"/>
          </w:rPr>
          <w:t>Blue Letter Bible - Greek Verbs</w:t>
        </w:r>
      </w:hyperlink>
      <w:r>
        <w:rPr>
          <w:rFonts w:ascii="Arial" w:hAnsi="Arial" w:cs="Arial"/>
          <w:color w:val="0000CC"/>
        </w:rPr>
        <w:t xml:space="preserve"> </w:t>
      </w:r>
    </w:p>
    <w:p w:rsidR="009D74AC" w:rsidRDefault="002F73A9" w:rsidP="00D11C95">
      <w:pPr>
        <w:pStyle w:val="NormalWeb"/>
        <w:shd w:val="clear" w:color="auto" w:fill="FFFFFF"/>
        <w:jc w:val="both"/>
        <w:textAlignment w:val="top"/>
        <w:rPr>
          <w:rFonts w:ascii="Arial" w:hAnsi="Arial" w:cs="Arial"/>
          <w:color w:val="222222"/>
        </w:rPr>
      </w:pPr>
      <w:hyperlink r:id="rId8" w:history="1">
        <w:r w:rsidR="009D74AC">
          <w:rPr>
            <w:rStyle w:val="Hyperlink"/>
            <w:rFonts w:ascii="Arial" w:hAnsi="Arial" w:cs="Arial"/>
            <w:color w:val="0000CC"/>
          </w:rPr>
          <w:t>Bible One - Arlen Chitwood's Prophecy on Mount Olivet, Ch. 10</w:t>
        </w:r>
      </w:hyperlink>
    </w:p>
    <w:p w:rsidR="009D74AC" w:rsidRDefault="002F73A9" w:rsidP="00D11C95">
      <w:pPr>
        <w:pStyle w:val="NormalWeb"/>
        <w:shd w:val="clear" w:color="auto" w:fill="FFFFFF"/>
        <w:jc w:val="both"/>
        <w:textAlignment w:val="top"/>
        <w:rPr>
          <w:rFonts w:ascii="Arial" w:hAnsi="Arial" w:cs="Arial"/>
          <w:color w:val="222222"/>
        </w:rPr>
      </w:pPr>
      <w:hyperlink r:id="rId9" w:history="1">
        <w:r w:rsidR="009D74AC">
          <w:rPr>
            <w:rStyle w:val="Hyperlink"/>
            <w:rFonts w:ascii="Arial" w:hAnsi="Arial" w:cs="Arial"/>
            <w:color w:val="0000CC"/>
          </w:rPr>
          <w:t>Prophecy on Mount Olivet by Arlen Chitwood</w:t>
        </w:r>
      </w:hyperlink>
    </w:p>
    <w:p w:rsidR="009D74AC" w:rsidRDefault="002F73A9" w:rsidP="00D11C95">
      <w:pPr>
        <w:pStyle w:val="NormalWeb"/>
        <w:shd w:val="clear" w:color="auto" w:fill="FFFFFF"/>
        <w:jc w:val="both"/>
        <w:textAlignment w:val="top"/>
        <w:rPr>
          <w:rFonts w:ascii="Arial" w:hAnsi="Arial" w:cs="Arial"/>
          <w:color w:val="222222"/>
        </w:rPr>
      </w:pPr>
      <w:hyperlink r:id="rId10" w:history="1">
        <w:r w:rsidR="009D74AC">
          <w:rPr>
            <w:rStyle w:val="Hyperlink"/>
            <w:rFonts w:ascii="Arial" w:hAnsi="Arial" w:cs="Arial"/>
            <w:color w:val="0000CC"/>
          </w:rPr>
          <w:t>Judgment Seat of Christ by Arlen Chitwood</w:t>
        </w:r>
      </w:hyperlink>
      <w:hyperlink r:id="rId11" w:history="1">
        <w:r w:rsidR="009D74AC">
          <w:rPr>
            <w:rStyle w:val="Hyperlink"/>
            <w:rFonts w:ascii="Arial" w:eastAsiaTheme="minorHAnsi" w:hAnsi="Arial" w:cs="Arial"/>
            <w:color w:val="0000CC"/>
          </w:rPr>
          <w:t>Bible One - Arlen Chitwood's Judgment Seat of Christ, Ch. 10</w:t>
        </w:r>
      </w:hyperlink>
    </w:p>
    <w:sectPr w:rsidR="009D74AC" w:rsidSect="009D74AC">
      <w:footerReference w:type="default" r:id="rId12"/>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FC" w:rsidRDefault="00445FFC" w:rsidP="00D11C95">
      <w:r>
        <w:separator/>
      </w:r>
    </w:p>
  </w:endnote>
  <w:endnote w:type="continuationSeparator" w:id="0">
    <w:p w:rsidR="00445FFC" w:rsidRDefault="00445FFC" w:rsidP="00D11C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9D18DFB8-046A-4ECC-9894-67836F6CE09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505910260"/>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D11C95" w:rsidRPr="00D11C95" w:rsidRDefault="00D11C95" w:rsidP="00D11C95">
            <w:pPr>
              <w:pStyle w:val="NormalWeb"/>
              <w:shd w:val="clear" w:color="auto" w:fill="FFFFFF"/>
              <w:jc w:val="both"/>
              <w:textAlignment w:val="top"/>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11C95">
              <w:rPr>
                <w:rFonts w:ascii="Arial" w:hAnsi="Arial" w:cs="Arial"/>
                <w:sz w:val="18"/>
                <w:szCs w:val="18"/>
              </w:rPr>
              <w:t>(</w:t>
            </w:r>
            <w:r w:rsidRPr="00D11C95">
              <w:rPr>
                <w:rFonts w:ascii="Arial" w:hAnsi="Arial" w:cs="Arial"/>
                <w:color w:val="222222"/>
                <w:sz w:val="18"/>
                <w:szCs w:val="18"/>
              </w:rPr>
              <w:t>Received or Turned Away,</w:t>
            </w:r>
            <w:r>
              <w:rPr>
                <w:rFonts w:ascii="Arial" w:hAnsi="Arial" w:cs="Arial"/>
                <w:color w:val="222222"/>
                <w:sz w:val="18"/>
                <w:szCs w:val="18"/>
              </w:rPr>
              <w:t xml:space="preserve"> </w:t>
            </w:r>
            <w:r w:rsidRPr="00D11C95">
              <w:rPr>
                <w:rFonts w:ascii="Arial" w:hAnsi="Arial" w:cs="Arial"/>
                <w:color w:val="222222"/>
                <w:sz w:val="18"/>
                <w:szCs w:val="18"/>
              </w:rPr>
              <w:t>Matthew 24:40-44 is NOT The Rapture b</w:t>
            </w:r>
            <w:r w:rsidRPr="00D11C95">
              <w:rPr>
                <w:rStyle w:val="Strong"/>
                <w:rFonts w:ascii="Arial" w:hAnsi="Arial" w:cs="Arial"/>
                <w:b w:val="0"/>
                <w:color w:val="222222"/>
                <w:sz w:val="18"/>
                <w:szCs w:val="18"/>
              </w:rPr>
              <w:t>y Arlen Chitwood</w:t>
            </w:r>
            <w:r w:rsidRPr="00D11C95">
              <w:rPr>
                <w:rFonts w:ascii="Arial" w:hAnsi="Arial" w:cs="Arial"/>
                <w:sz w:val="18"/>
                <w:szCs w:val="18"/>
              </w:rPr>
              <w:t xml:space="preserve">)  Page </w:t>
            </w:r>
            <w:r w:rsidR="002F73A9" w:rsidRPr="00D11C95">
              <w:rPr>
                <w:rFonts w:ascii="Arial" w:hAnsi="Arial" w:cs="Arial"/>
                <w:sz w:val="18"/>
                <w:szCs w:val="18"/>
              </w:rPr>
              <w:fldChar w:fldCharType="begin"/>
            </w:r>
            <w:r w:rsidRPr="00D11C95">
              <w:rPr>
                <w:rFonts w:ascii="Arial" w:hAnsi="Arial" w:cs="Arial"/>
                <w:sz w:val="18"/>
                <w:szCs w:val="18"/>
              </w:rPr>
              <w:instrText xml:space="preserve"> PAGE </w:instrText>
            </w:r>
            <w:r w:rsidR="002F73A9" w:rsidRPr="00D11C95">
              <w:rPr>
                <w:rFonts w:ascii="Arial" w:hAnsi="Arial" w:cs="Arial"/>
                <w:sz w:val="18"/>
                <w:szCs w:val="18"/>
              </w:rPr>
              <w:fldChar w:fldCharType="separate"/>
            </w:r>
            <w:r w:rsidR="00445FFC">
              <w:rPr>
                <w:rFonts w:ascii="Arial" w:hAnsi="Arial" w:cs="Arial"/>
                <w:noProof/>
                <w:sz w:val="18"/>
                <w:szCs w:val="18"/>
              </w:rPr>
              <w:t>1</w:t>
            </w:r>
            <w:r w:rsidR="002F73A9" w:rsidRPr="00D11C95">
              <w:rPr>
                <w:rFonts w:ascii="Arial" w:hAnsi="Arial" w:cs="Arial"/>
                <w:sz w:val="18"/>
                <w:szCs w:val="18"/>
              </w:rPr>
              <w:fldChar w:fldCharType="end"/>
            </w:r>
            <w:r w:rsidRPr="00D11C95">
              <w:rPr>
                <w:rFonts w:ascii="Arial" w:hAnsi="Arial" w:cs="Arial"/>
                <w:sz w:val="18"/>
                <w:szCs w:val="18"/>
              </w:rPr>
              <w:t xml:space="preserve"> of </w:t>
            </w:r>
            <w:r w:rsidR="002F73A9" w:rsidRPr="00D11C95">
              <w:rPr>
                <w:rFonts w:ascii="Arial" w:hAnsi="Arial" w:cs="Arial"/>
                <w:sz w:val="18"/>
                <w:szCs w:val="18"/>
              </w:rPr>
              <w:fldChar w:fldCharType="begin"/>
            </w:r>
            <w:r w:rsidRPr="00D11C95">
              <w:rPr>
                <w:rFonts w:ascii="Arial" w:hAnsi="Arial" w:cs="Arial"/>
                <w:sz w:val="18"/>
                <w:szCs w:val="18"/>
              </w:rPr>
              <w:instrText xml:space="preserve"> NUMPAGES  </w:instrText>
            </w:r>
            <w:r w:rsidR="002F73A9" w:rsidRPr="00D11C95">
              <w:rPr>
                <w:rFonts w:ascii="Arial" w:hAnsi="Arial" w:cs="Arial"/>
                <w:sz w:val="18"/>
                <w:szCs w:val="18"/>
              </w:rPr>
              <w:fldChar w:fldCharType="separate"/>
            </w:r>
            <w:r w:rsidR="00445FFC">
              <w:rPr>
                <w:rFonts w:ascii="Arial" w:hAnsi="Arial" w:cs="Arial"/>
                <w:noProof/>
                <w:sz w:val="18"/>
                <w:szCs w:val="18"/>
              </w:rPr>
              <w:t>1</w:t>
            </w:r>
            <w:r w:rsidR="002F73A9" w:rsidRPr="00D11C95">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FC" w:rsidRDefault="00445FFC" w:rsidP="00D11C95">
      <w:r>
        <w:separator/>
      </w:r>
    </w:p>
  </w:footnote>
  <w:footnote w:type="continuationSeparator" w:id="0">
    <w:p w:rsidR="00445FFC" w:rsidRDefault="00445FFC" w:rsidP="00D11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71BE9"/>
    <w:rsid w:val="000215E9"/>
    <w:rsid w:val="000274B2"/>
    <w:rsid w:val="00087EB9"/>
    <w:rsid w:val="000F3943"/>
    <w:rsid w:val="0012210B"/>
    <w:rsid w:val="00141AEF"/>
    <w:rsid w:val="001701F9"/>
    <w:rsid w:val="00171BE9"/>
    <w:rsid w:val="0018605E"/>
    <w:rsid w:val="0021374F"/>
    <w:rsid w:val="002D4105"/>
    <w:rsid w:val="002F73A9"/>
    <w:rsid w:val="00365CD0"/>
    <w:rsid w:val="00381740"/>
    <w:rsid w:val="00390807"/>
    <w:rsid w:val="004005B2"/>
    <w:rsid w:val="00444269"/>
    <w:rsid w:val="00445FFC"/>
    <w:rsid w:val="0058264E"/>
    <w:rsid w:val="006C7801"/>
    <w:rsid w:val="006F34F0"/>
    <w:rsid w:val="00704CD2"/>
    <w:rsid w:val="007227A9"/>
    <w:rsid w:val="00742097"/>
    <w:rsid w:val="008955FA"/>
    <w:rsid w:val="009A5F9D"/>
    <w:rsid w:val="009D74AC"/>
    <w:rsid w:val="009F24FC"/>
    <w:rsid w:val="00A77504"/>
    <w:rsid w:val="00AA6CB8"/>
    <w:rsid w:val="00B17502"/>
    <w:rsid w:val="00BD17B9"/>
    <w:rsid w:val="00C27C94"/>
    <w:rsid w:val="00CF5FDD"/>
    <w:rsid w:val="00D11C95"/>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4AC"/>
    <w:rPr>
      <w:color w:val="0062B5"/>
      <w:u w:val="single"/>
    </w:rPr>
  </w:style>
  <w:style w:type="paragraph" w:styleId="NormalWeb">
    <w:name w:val="Normal (Web)"/>
    <w:basedOn w:val="Normal"/>
    <w:uiPriority w:val="99"/>
    <w:unhideWhenUsed/>
    <w:rsid w:val="009D74AC"/>
    <w:pPr>
      <w:jc w:val="left"/>
    </w:pPr>
    <w:rPr>
      <w:rFonts w:ascii="Times New Roman" w:eastAsia="Times New Roman" w:hAnsi="Times New Roman" w:cs="Times New Roman"/>
    </w:rPr>
  </w:style>
  <w:style w:type="character" w:styleId="Strong">
    <w:name w:val="Strong"/>
    <w:basedOn w:val="DefaultParagraphFont"/>
    <w:uiPriority w:val="22"/>
    <w:qFormat/>
    <w:rsid w:val="009D74AC"/>
    <w:rPr>
      <w:b/>
      <w:bCs/>
    </w:rPr>
  </w:style>
  <w:style w:type="character" w:styleId="Emphasis">
    <w:name w:val="Emphasis"/>
    <w:basedOn w:val="DefaultParagraphFont"/>
    <w:uiPriority w:val="20"/>
    <w:qFormat/>
    <w:rsid w:val="009D74AC"/>
    <w:rPr>
      <w:i/>
      <w:iCs/>
    </w:rPr>
  </w:style>
  <w:style w:type="paragraph" w:styleId="Header">
    <w:name w:val="header"/>
    <w:basedOn w:val="Normal"/>
    <w:link w:val="HeaderChar"/>
    <w:uiPriority w:val="99"/>
    <w:semiHidden/>
    <w:unhideWhenUsed/>
    <w:rsid w:val="00D11C95"/>
    <w:pPr>
      <w:tabs>
        <w:tab w:val="center" w:pos="4680"/>
        <w:tab w:val="right" w:pos="9360"/>
      </w:tabs>
    </w:pPr>
  </w:style>
  <w:style w:type="character" w:customStyle="1" w:styleId="HeaderChar">
    <w:name w:val="Header Char"/>
    <w:basedOn w:val="DefaultParagraphFont"/>
    <w:link w:val="Header"/>
    <w:uiPriority w:val="99"/>
    <w:semiHidden/>
    <w:rsid w:val="00D11C95"/>
  </w:style>
  <w:style w:type="paragraph" w:styleId="Footer">
    <w:name w:val="footer"/>
    <w:basedOn w:val="Normal"/>
    <w:link w:val="FooterChar"/>
    <w:uiPriority w:val="99"/>
    <w:unhideWhenUsed/>
    <w:rsid w:val="00D11C95"/>
    <w:pPr>
      <w:tabs>
        <w:tab w:val="center" w:pos="4680"/>
        <w:tab w:val="right" w:pos="9360"/>
      </w:tabs>
    </w:pPr>
  </w:style>
  <w:style w:type="character" w:customStyle="1" w:styleId="FooterChar">
    <w:name w:val="Footer Char"/>
    <w:basedOn w:val="DefaultParagraphFont"/>
    <w:link w:val="Footer"/>
    <w:uiPriority w:val="99"/>
    <w:rsid w:val="00D11C95"/>
  </w:style>
</w:styles>
</file>

<file path=word/webSettings.xml><?xml version="1.0" encoding="utf-8"?>
<w:webSettings xmlns:r="http://schemas.openxmlformats.org/officeDocument/2006/relationships" xmlns:w="http://schemas.openxmlformats.org/wordprocessingml/2006/main">
  <w:divs>
    <w:div w:id="1735665467">
      <w:bodyDiv w:val="1"/>
      <w:marLeft w:val="0"/>
      <w:marRight w:val="0"/>
      <w:marTop w:val="0"/>
      <w:marBottom w:val="0"/>
      <w:divBdr>
        <w:top w:val="none" w:sz="0" w:space="0" w:color="auto"/>
        <w:left w:val="none" w:sz="0" w:space="0" w:color="auto"/>
        <w:bottom w:val="none" w:sz="0" w:space="0" w:color="auto"/>
        <w:right w:val="none" w:sz="0" w:space="0" w:color="auto"/>
      </w:divBdr>
      <w:divsChild>
        <w:div w:id="422839926">
          <w:marLeft w:val="0"/>
          <w:marRight w:val="0"/>
          <w:marTop w:val="300"/>
          <w:marBottom w:val="150"/>
          <w:divBdr>
            <w:top w:val="none" w:sz="0" w:space="0" w:color="auto"/>
            <w:left w:val="none" w:sz="0" w:space="0" w:color="auto"/>
            <w:bottom w:val="none" w:sz="0" w:space="0" w:color="auto"/>
            <w:right w:val="none" w:sz="0" w:space="0" w:color="auto"/>
          </w:divBdr>
          <w:divsChild>
            <w:div w:id="303774444">
              <w:marLeft w:val="0"/>
              <w:marRight w:val="0"/>
              <w:marTop w:val="0"/>
              <w:marBottom w:val="0"/>
              <w:divBdr>
                <w:top w:val="none" w:sz="0" w:space="0" w:color="auto"/>
                <w:left w:val="none" w:sz="0" w:space="0" w:color="auto"/>
                <w:bottom w:val="none" w:sz="0" w:space="0" w:color="auto"/>
                <w:right w:val="none" w:sz="0" w:space="0" w:color="auto"/>
              </w:divBdr>
              <w:divsChild>
                <w:div w:id="177814676">
                  <w:marLeft w:val="0"/>
                  <w:marRight w:val="0"/>
                  <w:marTop w:val="0"/>
                  <w:marBottom w:val="0"/>
                  <w:divBdr>
                    <w:top w:val="none" w:sz="0" w:space="0" w:color="auto"/>
                    <w:left w:val="none" w:sz="0" w:space="0" w:color="auto"/>
                    <w:bottom w:val="none" w:sz="0" w:space="0" w:color="auto"/>
                    <w:right w:val="none" w:sz="0" w:space="0" w:color="auto"/>
                  </w:divBdr>
                  <w:divsChild>
                    <w:div w:id="1291084750">
                      <w:marLeft w:val="0"/>
                      <w:marRight w:val="0"/>
                      <w:marTop w:val="0"/>
                      <w:marBottom w:val="0"/>
                      <w:divBdr>
                        <w:top w:val="none" w:sz="0" w:space="0" w:color="auto"/>
                        <w:left w:val="none" w:sz="0" w:space="0" w:color="auto"/>
                        <w:bottom w:val="none" w:sz="0" w:space="0" w:color="auto"/>
                        <w:right w:val="none" w:sz="0" w:space="0" w:color="auto"/>
                      </w:divBdr>
                      <w:divsChild>
                        <w:div w:id="62991165">
                          <w:marLeft w:val="0"/>
                          <w:marRight w:val="0"/>
                          <w:marTop w:val="0"/>
                          <w:marBottom w:val="0"/>
                          <w:divBdr>
                            <w:top w:val="none" w:sz="0" w:space="0" w:color="auto"/>
                            <w:left w:val="none" w:sz="0" w:space="0" w:color="auto"/>
                            <w:bottom w:val="none" w:sz="0" w:space="0" w:color="auto"/>
                            <w:right w:val="none" w:sz="0" w:space="0" w:color="auto"/>
                          </w:divBdr>
                          <w:divsChild>
                            <w:div w:id="758253045">
                              <w:marLeft w:val="375"/>
                              <w:marRight w:val="375"/>
                              <w:marTop w:val="375"/>
                              <w:marBottom w:val="375"/>
                              <w:divBdr>
                                <w:top w:val="none" w:sz="0" w:space="0" w:color="auto"/>
                                <w:left w:val="none" w:sz="0" w:space="0" w:color="auto"/>
                                <w:bottom w:val="none" w:sz="0" w:space="0" w:color="auto"/>
                                <w:right w:val="none" w:sz="0" w:space="0" w:color="auto"/>
                              </w:divBdr>
                              <w:divsChild>
                                <w:div w:id="1790658389">
                                  <w:marLeft w:val="30"/>
                                  <w:marRight w:val="30"/>
                                  <w:marTop w:val="30"/>
                                  <w:marBottom w:val="30"/>
                                  <w:divBdr>
                                    <w:top w:val="none" w:sz="0" w:space="0" w:color="auto"/>
                                    <w:left w:val="none" w:sz="0" w:space="0" w:color="auto"/>
                                    <w:bottom w:val="none" w:sz="0" w:space="0" w:color="auto"/>
                                    <w:right w:val="none" w:sz="0" w:space="0" w:color="auto"/>
                                  </w:divBdr>
                                  <w:divsChild>
                                    <w:div w:id="217938248">
                                      <w:marLeft w:val="0"/>
                                      <w:marRight w:val="0"/>
                                      <w:marTop w:val="0"/>
                                      <w:marBottom w:val="0"/>
                                      <w:divBdr>
                                        <w:top w:val="none" w:sz="0" w:space="0" w:color="auto"/>
                                        <w:left w:val="none" w:sz="0" w:space="0" w:color="auto"/>
                                        <w:bottom w:val="none" w:sz="0" w:space="0" w:color="auto"/>
                                        <w:right w:val="none" w:sz="0" w:space="0" w:color="auto"/>
                                      </w:divBdr>
                                      <w:divsChild>
                                        <w:div w:id="1109275151">
                                          <w:marLeft w:val="0"/>
                                          <w:marRight w:val="0"/>
                                          <w:marTop w:val="0"/>
                                          <w:marBottom w:val="0"/>
                                          <w:divBdr>
                                            <w:top w:val="none" w:sz="0" w:space="0" w:color="auto"/>
                                            <w:left w:val="none" w:sz="0" w:space="0" w:color="auto"/>
                                            <w:bottom w:val="none" w:sz="0" w:space="0" w:color="auto"/>
                                            <w:right w:val="none" w:sz="0" w:space="0" w:color="auto"/>
                                          </w:divBdr>
                                          <w:divsChild>
                                            <w:div w:id="374282924">
                                              <w:marLeft w:val="0"/>
                                              <w:marRight w:val="0"/>
                                              <w:marTop w:val="0"/>
                                              <w:marBottom w:val="0"/>
                                              <w:divBdr>
                                                <w:top w:val="none" w:sz="0" w:space="0" w:color="auto"/>
                                                <w:left w:val="none" w:sz="0" w:space="0" w:color="auto"/>
                                                <w:bottom w:val="none" w:sz="0" w:space="0" w:color="auto"/>
                                                <w:right w:val="none" w:sz="0" w:space="0" w:color="auto"/>
                                              </w:divBdr>
                                              <w:divsChild>
                                                <w:div w:id="1372925030">
                                                  <w:blockQuote w:val="1"/>
                                                  <w:marLeft w:val="720"/>
                                                  <w:marRight w:val="0"/>
                                                  <w:marTop w:val="100"/>
                                                  <w:marBottom w:val="100"/>
                                                  <w:divBdr>
                                                    <w:top w:val="none" w:sz="0" w:space="0" w:color="auto"/>
                                                    <w:left w:val="none" w:sz="0" w:space="0" w:color="auto"/>
                                                    <w:bottom w:val="none" w:sz="0" w:space="0" w:color="auto"/>
                                                    <w:right w:val="none" w:sz="0" w:space="0" w:color="auto"/>
                                                  </w:divBdr>
                                                </w:div>
                                                <w:div w:id="1238052935">
                                                  <w:blockQuote w:val="1"/>
                                                  <w:marLeft w:val="720"/>
                                                  <w:marRight w:val="0"/>
                                                  <w:marTop w:val="100"/>
                                                  <w:marBottom w:val="100"/>
                                                  <w:divBdr>
                                                    <w:top w:val="none" w:sz="0" w:space="0" w:color="auto"/>
                                                    <w:left w:val="none" w:sz="0" w:space="0" w:color="auto"/>
                                                    <w:bottom w:val="none" w:sz="0" w:space="0" w:color="auto"/>
                                                    <w:right w:val="none" w:sz="0" w:space="0" w:color="auto"/>
                                                  </w:divBdr>
                                                </w:div>
                                                <w:div w:id="613293365">
                                                  <w:blockQuote w:val="1"/>
                                                  <w:marLeft w:val="720"/>
                                                  <w:marRight w:val="0"/>
                                                  <w:marTop w:val="100"/>
                                                  <w:marBottom w:val="100"/>
                                                  <w:divBdr>
                                                    <w:top w:val="none" w:sz="0" w:space="0" w:color="auto"/>
                                                    <w:left w:val="none" w:sz="0" w:space="0" w:color="auto"/>
                                                    <w:bottom w:val="none" w:sz="0" w:space="0" w:color="auto"/>
                                                    <w:right w:val="none" w:sz="0" w:space="0" w:color="auto"/>
                                                  </w:divBdr>
                                                </w:div>
                                                <w:div w:id="212155272">
                                                  <w:blockQuote w:val="1"/>
                                                  <w:marLeft w:val="720"/>
                                                  <w:marRight w:val="0"/>
                                                  <w:marTop w:val="100"/>
                                                  <w:marBottom w:val="100"/>
                                                  <w:divBdr>
                                                    <w:top w:val="none" w:sz="0" w:space="0" w:color="auto"/>
                                                    <w:left w:val="none" w:sz="0" w:space="0" w:color="auto"/>
                                                    <w:bottom w:val="none" w:sz="0" w:space="0" w:color="auto"/>
                                                    <w:right w:val="none" w:sz="0" w:space="0" w:color="auto"/>
                                                  </w:divBdr>
                                                </w:div>
                                                <w:div w:id="19896752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1943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7390410">
                                                  <w:blockQuote w:val="1"/>
                                                  <w:marLeft w:val="720"/>
                                                  <w:marRight w:val="0"/>
                                                  <w:marTop w:val="100"/>
                                                  <w:marBottom w:val="100"/>
                                                  <w:divBdr>
                                                    <w:top w:val="none" w:sz="0" w:space="0" w:color="auto"/>
                                                    <w:left w:val="none" w:sz="0" w:space="0" w:color="auto"/>
                                                    <w:bottom w:val="none" w:sz="0" w:space="0" w:color="auto"/>
                                                    <w:right w:val="none" w:sz="0" w:space="0" w:color="auto"/>
                                                  </w:divBdr>
                                                </w:div>
                                                <w:div w:id="1646326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POMO_1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help/greekverbs.cf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10.htm" TargetMode="External"/><Relationship Id="rId11" Type="http://schemas.openxmlformats.org/officeDocument/2006/relationships/hyperlink" Target="http://bibleone.net/JSC10.htm" TargetMode="External"/><Relationship Id="rId5" Type="http://schemas.openxmlformats.org/officeDocument/2006/relationships/endnotes" Target="endnotes.xml"/><Relationship Id="rId10" Type="http://schemas.openxmlformats.org/officeDocument/2006/relationships/hyperlink" Target="http://lampbroadcast.org/Books/JSOC.pdf" TargetMode="External"/><Relationship Id="rId4" Type="http://schemas.openxmlformats.org/officeDocument/2006/relationships/footnotes" Target="footnotes.xml"/><Relationship Id="rId9" Type="http://schemas.openxmlformats.org/officeDocument/2006/relationships/hyperlink" Target="http://lampbroadcast.org/Books/POMO.pdf"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2014-06-30T14:47:00Z</dcterms:created>
  <dcterms:modified xsi:type="dcterms:W3CDTF">2014-06-30T15:47:00Z</dcterms:modified>
</cp:coreProperties>
</file>