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378" w:rsidRPr="00513378" w:rsidRDefault="00513378" w:rsidP="00513378">
      <w:pPr>
        <w:shd w:val="clear" w:color="auto" w:fill="FFFFFF"/>
        <w:ind w:left="0"/>
        <w:rPr>
          <w:rFonts w:eastAsia="Times New Roman"/>
          <w:b/>
          <w:color w:val="222222"/>
          <w:sz w:val="32"/>
          <w:szCs w:val="32"/>
        </w:rPr>
      </w:pPr>
      <w:bookmarkStart w:id="0" w:name="_GoBack"/>
      <w:r w:rsidRPr="00513378">
        <w:rPr>
          <w:rFonts w:eastAsia="Times New Roman"/>
          <w:b/>
          <w:color w:val="222222"/>
          <w:sz w:val="32"/>
          <w:szCs w:val="32"/>
        </w:rPr>
        <w:t>“Thou Wicked Servant”</w:t>
      </w:r>
    </w:p>
    <w:bookmarkEnd w:id="0"/>
    <w:p w:rsidR="00513378" w:rsidRPr="00513378" w:rsidRDefault="00513378" w:rsidP="00513378">
      <w:pPr>
        <w:shd w:val="clear" w:color="auto" w:fill="FFFFFF"/>
        <w:ind w:left="0"/>
        <w:rPr>
          <w:rFonts w:eastAsia="Times New Roman"/>
          <w:color w:val="222222"/>
        </w:rPr>
      </w:pPr>
      <w:r w:rsidRPr="00513378">
        <w:rPr>
          <w:rFonts w:eastAsia="Times New Roman"/>
          <w:i/>
          <w:iCs/>
          <w:color w:val="222222"/>
        </w:rPr>
        <w:t>Future Words of the Lord to One of His Own</w:t>
      </w:r>
    </w:p>
    <w:p w:rsidR="00513378" w:rsidRPr="00513378" w:rsidRDefault="00513378" w:rsidP="00513378">
      <w:pPr>
        <w:shd w:val="clear" w:color="auto" w:fill="FFFFFF"/>
        <w:ind w:left="0"/>
        <w:rPr>
          <w:rFonts w:eastAsia="Times New Roman"/>
          <w:b/>
          <w:color w:val="222222"/>
        </w:rPr>
      </w:pPr>
      <w:r w:rsidRPr="00513378">
        <w:rPr>
          <w:rFonts w:eastAsia="Times New Roman"/>
          <w:b/>
          <w:bCs/>
          <w:color w:val="222222"/>
        </w:rPr>
        <w:t>By Arlen L. Chitwood of</w:t>
      </w:r>
      <w:r w:rsidRPr="00513378">
        <w:rPr>
          <w:rFonts w:eastAsia="Times New Roman"/>
          <w:b/>
          <w:color w:val="222222"/>
        </w:rPr>
        <w:t xml:space="preserve"> </w:t>
      </w:r>
      <w:hyperlink r:id="rId4" w:history="1">
        <w:r w:rsidRPr="00513378">
          <w:rPr>
            <w:rFonts w:eastAsia="Times New Roman"/>
            <w:b/>
            <w:color w:val="2F5496"/>
            <w:u w:val="single"/>
          </w:rPr>
          <w:t>Lamp Broadcast</w:t>
        </w:r>
      </w:hyperlink>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In both the parable of the talents and the parable of the pounds, the distinguishing difference in servitude, revealed in the Householder’s presence, in each instance, had to do with the servants’ </w:t>
      </w:r>
      <w:r w:rsidRPr="00513378">
        <w:rPr>
          <w:rFonts w:eastAsia="Times New Roman"/>
          <w:i/>
          <w:iCs/>
          <w:color w:val="222222"/>
        </w:rPr>
        <w:t>proper use</w:t>
      </w:r>
      <w:r w:rsidRPr="00513378">
        <w:rPr>
          <w:rFonts w:eastAsia="Times New Roman"/>
          <w:color w:val="222222"/>
        </w:rPr>
        <w:t xml:space="preserve"> or </w:t>
      </w:r>
      <w:r w:rsidRPr="00513378">
        <w:rPr>
          <w:rFonts w:eastAsia="Times New Roman"/>
          <w:i/>
          <w:iCs/>
          <w:color w:val="222222"/>
        </w:rPr>
        <w:t>improper use</w:t>
      </w:r>
      <w:r w:rsidRPr="00513378">
        <w:rPr>
          <w:rFonts w:eastAsia="Times New Roman"/>
          <w:color w:val="222222"/>
        </w:rPr>
        <w:t xml:space="preserve"> of the Master’s goods through trading and trafficking during the time of the Master’s absence.</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In each parable, two servants were shown to have brought forth varying amounts of increase through </w:t>
      </w:r>
      <w:r w:rsidRPr="00513378">
        <w:rPr>
          <w:rFonts w:eastAsia="Times New Roman"/>
          <w:i/>
          <w:iCs/>
          <w:color w:val="222222"/>
        </w:rPr>
        <w:t>a proper use of their Master’s goods</w:t>
      </w:r>
      <w:r w:rsidRPr="00513378">
        <w:rPr>
          <w:rFonts w:eastAsia="Times New Roman"/>
          <w:color w:val="222222"/>
        </w:rPr>
        <w:t xml:space="preserve">, while another servant was shown to have brought forth no increase at all through </w:t>
      </w:r>
      <w:r w:rsidRPr="00513378">
        <w:rPr>
          <w:rFonts w:eastAsia="Times New Roman"/>
          <w:i/>
          <w:iCs/>
          <w:color w:val="222222"/>
        </w:rPr>
        <w:t>a failure to use</w:t>
      </w:r>
      <w:r w:rsidRPr="00513378">
        <w:rPr>
          <w:rFonts w:eastAsia="Times New Roman"/>
          <w:color w:val="222222"/>
        </w:rPr>
        <w:t xml:space="preserve"> his Master’s goods.</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The servant bringing forth no increase, in each parable, had stored his Master’s goods for safekeeping in a place where they </w:t>
      </w:r>
      <w:r w:rsidRPr="00513378">
        <w:rPr>
          <w:rFonts w:eastAsia="Times New Roman"/>
          <w:i/>
          <w:iCs/>
          <w:color w:val="222222"/>
        </w:rPr>
        <w:t>could not</w:t>
      </w:r>
      <w:r w:rsidRPr="00513378">
        <w:rPr>
          <w:rFonts w:eastAsia="Times New Roman"/>
          <w:color w:val="222222"/>
        </w:rPr>
        <w:t xml:space="preserve"> be used. The servant in the parable of the talents had buried his Master’s goods in the ground (</w:t>
      </w:r>
      <w:hyperlink r:id="rId5" w:history="1">
        <w:r w:rsidRPr="00513378">
          <w:rPr>
            <w:rFonts w:eastAsia="Times New Roman"/>
            <w:color w:val="0062B5"/>
            <w:u w:val="single"/>
          </w:rPr>
          <w:t>Matthew 25:25</w:t>
        </w:r>
      </w:hyperlink>
      <w:r w:rsidRPr="00513378">
        <w:rPr>
          <w:rFonts w:eastAsia="Times New Roman"/>
          <w:color w:val="222222"/>
        </w:rPr>
        <w:t>), and the servant in the parable of the pounds had placed his Master’s goods inside a napkin (</w:t>
      </w:r>
      <w:hyperlink r:id="rId6" w:history="1">
        <w:r w:rsidRPr="00513378">
          <w:rPr>
            <w:rFonts w:eastAsia="Times New Roman"/>
            <w:color w:val="0062B5"/>
            <w:u w:val="single"/>
          </w:rPr>
          <w:t>Luke 19:20</w:t>
        </w:r>
      </w:hyperlink>
      <w:r w:rsidRPr="00513378">
        <w:rPr>
          <w:rFonts w:eastAsia="Times New Roman"/>
          <w:color w:val="222222"/>
        </w:rPr>
        <w:t>). And in each instance, no increase could be realized.</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In each parable, the servant who had hidden his Master’s goods for safekeeping and had not used them was called into his Master’s presence to render an account. And that which was revealed, while </w:t>
      </w:r>
      <w:r w:rsidRPr="00513378">
        <w:rPr>
          <w:rFonts w:eastAsia="Times New Roman"/>
          <w:i/>
          <w:iCs/>
          <w:color w:val="222222"/>
        </w:rPr>
        <w:t>in his Master’s presence</w:t>
      </w:r>
      <w:r w:rsidRPr="00513378">
        <w:rPr>
          <w:rFonts w:eastAsia="Times New Roman"/>
          <w:color w:val="222222"/>
        </w:rPr>
        <w:t xml:space="preserve">, resulted in </w:t>
      </w:r>
      <w:r w:rsidRPr="00513378">
        <w:rPr>
          <w:rFonts w:eastAsia="Times New Roman"/>
          <w:i/>
          <w:iCs/>
          <w:color w:val="222222"/>
        </w:rPr>
        <w:t>rebuke</w:t>
      </w:r>
      <w:r w:rsidRPr="00513378">
        <w:rPr>
          <w:rFonts w:eastAsia="Times New Roman"/>
          <w:color w:val="222222"/>
        </w:rPr>
        <w:t xml:space="preserve"> and </w:t>
      </w:r>
      <w:r w:rsidRPr="00513378">
        <w:rPr>
          <w:rFonts w:eastAsia="Times New Roman"/>
          <w:i/>
          <w:iCs/>
          <w:color w:val="222222"/>
        </w:rPr>
        <w:t>loss.</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His stewardship was supposed to have been the means through which he could have successfully run the race of the faith, allowing him to win a crown and be elevated into a regal position in the Householder’s kingdom at the time of His return. He, as a household steward in possession of a portion of the Householder’s goods, through faithfulness to his calling (his particular place of responsibility in the house), was being given an opportunity to bring forth an increase (bring forth fruit). This would allow him to win a crown, qualifying him to be elevated into the position of co-heir with his Master in the kingdom (which his Master had gone away to receive).</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However, </w:t>
      </w:r>
      <w:r w:rsidRPr="00513378">
        <w:rPr>
          <w:rFonts w:eastAsia="Times New Roman"/>
          <w:i/>
          <w:iCs/>
          <w:color w:val="222222"/>
        </w:rPr>
        <w:t>failure in his presently assigned stewardship</w:t>
      </w:r>
      <w:r w:rsidRPr="00513378">
        <w:rPr>
          <w:rFonts w:eastAsia="Times New Roman"/>
          <w:color w:val="222222"/>
        </w:rPr>
        <w:t xml:space="preserve"> would mean </w:t>
      </w:r>
      <w:r w:rsidRPr="00513378">
        <w:rPr>
          <w:rFonts w:eastAsia="Times New Roman"/>
          <w:i/>
          <w:iCs/>
          <w:color w:val="222222"/>
        </w:rPr>
        <w:t>his future rejection as ruler</w:t>
      </w:r>
      <w:r w:rsidRPr="00513378">
        <w:rPr>
          <w:rFonts w:eastAsia="Times New Roman"/>
          <w:color w:val="222222"/>
        </w:rPr>
        <w:t xml:space="preserve">. The unfaithful steward, at the time of his Master’s return, would be judged </w:t>
      </w:r>
      <w:r w:rsidRPr="00513378">
        <w:rPr>
          <w:rFonts w:eastAsia="Times New Roman"/>
          <w:i/>
          <w:iCs/>
          <w:color w:val="222222"/>
        </w:rPr>
        <w:t xml:space="preserve">unfit </w:t>
      </w:r>
      <w:r w:rsidRPr="00513378">
        <w:rPr>
          <w:rFonts w:eastAsia="Times New Roman"/>
          <w:color w:val="222222"/>
        </w:rPr>
        <w:t>to occupy a position with his Master in the kingdom, with chastisement following.</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The Lord will not take lightly the matter of household servants, through unfaithfulness, spurning proffered positions as co-heirs with Him in the kingdom. Unfaithful servants will receive treatment of such </w:t>
      </w:r>
      <w:r w:rsidRPr="00513378">
        <w:rPr>
          <w:rFonts w:eastAsia="Times New Roman"/>
          <w:i/>
          <w:iCs/>
          <w:color w:val="222222"/>
        </w:rPr>
        <w:t>a harsh nature</w:t>
      </w:r>
      <w:r w:rsidRPr="00513378">
        <w:rPr>
          <w:rFonts w:eastAsia="Times New Roman"/>
          <w:color w:val="222222"/>
        </w:rPr>
        <w:t xml:space="preserve"> at the hands of their Lord that many students of the Word turn completely away from the thought of saved individuals being in view. To them it is unthinkable that the Lord would extend treatment of this nature to redeemed individuals, His Own people.</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This is the main reason that issues surrounding one’s eternal salvation or eternal damnation are often read into the parable of the talents and the parable of the pounds, with the unfaithful servants in both parables being looked upon as unsaved individuals.</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However, the question concerning how the Lord could extend treatment of the nature revealed in these parables to one of His Own </w:t>
      </w:r>
      <w:r w:rsidRPr="00513378">
        <w:rPr>
          <w:rFonts w:eastAsia="Times New Roman"/>
          <w:i/>
          <w:iCs/>
          <w:color w:val="222222"/>
        </w:rPr>
        <w:t>does not address the issue at all</w:t>
      </w:r>
      <w:r w:rsidRPr="00513378">
        <w:rPr>
          <w:rFonts w:eastAsia="Times New Roman"/>
          <w:color w:val="222222"/>
        </w:rPr>
        <w:t>. The question asked within a proper Biblical framework would have to be just the opposite:</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600"/>
        <w:rPr>
          <w:rFonts w:eastAsia="Times New Roman"/>
          <w:color w:val="222222"/>
        </w:rPr>
      </w:pPr>
      <w:r w:rsidRPr="00513378">
        <w:rPr>
          <w:rFonts w:eastAsia="Times New Roman"/>
          <w:color w:val="222222"/>
        </w:rPr>
        <w:t xml:space="preserve">“How could the Lord be perfectly just and righteous </w:t>
      </w:r>
      <w:r w:rsidRPr="00513378">
        <w:rPr>
          <w:rFonts w:eastAsia="Times New Roman"/>
          <w:i/>
          <w:iCs/>
          <w:color w:val="222222"/>
        </w:rPr>
        <w:t xml:space="preserve">without </w:t>
      </w:r>
      <w:r w:rsidRPr="00513378">
        <w:rPr>
          <w:rFonts w:eastAsia="Times New Roman"/>
          <w:color w:val="222222"/>
        </w:rPr>
        <w:t>extending treatment of this nature to one of His Own?”</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If faithfulness calls for commendation and reward (which it does), then unfaithfulness </w:t>
      </w:r>
      <w:r w:rsidRPr="00513378">
        <w:rPr>
          <w:rFonts w:eastAsia="Times New Roman"/>
          <w:i/>
          <w:iCs/>
          <w:color w:val="222222"/>
        </w:rPr>
        <w:t>must call for</w:t>
      </w:r>
      <w:r w:rsidRPr="00513378">
        <w:rPr>
          <w:rFonts w:eastAsia="Times New Roman"/>
          <w:color w:val="222222"/>
        </w:rPr>
        <w:t xml:space="preserve"> rebuke and loss (which it does). </w:t>
      </w:r>
      <w:r w:rsidRPr="00513378">
        <w:rPr>
          <w:rFonts w:eastAsia="Times New Roman"/>
          <w:i/>
          <w:iCs/>
          <w:color w:val="222222"/>
        </w:rPr>
        <w:t>The inverse of one must be true relative to the other, else the Lord’s perfect justice and righteousness could not be satisfied.</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b/>
          <w:bCs/>
          <w:color w:val="222222"/>
        </w:rPr>
        <w:t>The Servants’ Plea</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The unfaithful servants in both the parable of the talents and the parable of the pounds are seen pleading their individual cases before the Lord in frank, open, and unrestrained manners. Nothing appears to be held back as they relate the reasons for the different courses of action which they had taken while servants in the Master’s house in charge of a portion of the Master’s goods.</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The appeal by the servants is not that of trying to hide or cover up that which had been done. To the contrary, it is just the opposite. They both appeal to their Lord, while in His presence, in an open, almost brazen manner, relating </w:t>
      </w:r>
      <w:r w:rsidRPr="00513378">
        <w:rPr>
          <w:rFonts w:eastAsia="Times New Roman"/>
          <w:i/>
          <w:iCs/>
          <w:color w:val="222222"/>
        </w:rPr>
        <w:t>exactly</w:t>
      </w:r>
      <w:r w:rsidRPr="00513378">
        <w:rPr>
          <w:rFonts w:eastAsia="Times New Roman"/>
          <w:color w:val="222222"/>
        </w:rPr>
        <w:t xml:space="preserve"> what had occurred.</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In that coming day, nothing will be held back. All things will be “naked and opened unto the eyes of him with whom we have to do” (</w:t>
      </w:r>
      <w:hyperlink r:id="rId7" w:history="1">
        <w:r w:rsidRPr="00513378">
          <w:rPr>
            <w:rFonts w:eastAsia="Times New Roman"/>
            <w:color w:val="0062B5"/>
            <w:u w:val="single"/>
          </w:rPr>
          <w:t>Hebrews 4:13</w:t>
        </w:r>
      </w:hyperlink>
      <w:r w:rsidRPr="00513378">
        <w:rPr>
          <w:rFonts w:eastAsia="Times New Roman"/>
          <w:color w:val="222222"/>
        </w:rPr>
        <w:t xml:space="preserve">). Christ spoke </w:t>
      </w:r>
      <w:r w:rsidRPr="00513378">
        <w:rPr>
          <w:rFonts w:eastAsia="Times New Roman"/>
          <w:i/>
          <w:iCs/>
          <w:color w:val="222222"/>
        </w:rPr>
        <w:t>openly</w:t>
      </w:r>
      <w:r w:rsidRPr="00513378">
        <w:rPr>
          <w:rFonts w:eastAsia="Times New Roman"/>
          <w:color w:val="222222"/>
        </w:rPr>
        <w:t xml:space="preserve"> during His earthly ministry, saying </w:t>
      </w:r>
      <w:r w:rsidRPr="00513378">
        <w:rPr>
          <w:rFonts w:eastAsia="Times New Roman"/>
          <w:i/>
          <w:iCs/>
          <w:color w:val="222222"/>
        </w:rPr>
        <w:t>nothing</w:t>
      </w:r>
      <w:r w:rsidRPr="00513378">
        <w:rPr>
          <w:rFonts w:eastAsia="Times New Roman"/>
          <w:color w:val="222222"/>
        </w:rPr>
        <w:t xml:space="preserve"> in secret (</w:t>
      </w:r>
      <w:hyperlink r:id="rId8" w:history="1">
        <w:r w:rsidRPr="00513378">
          <w:rPr>
            <w:rFonts w:eastAsia="Times New Roman"/>
            <w:color w:val="0062B5"/>
            <w:u w:val="single"/>
          </w:rPr>
          <w:t>John 18:20</w:t>
        </w:r>
      </w:hyperlink>
      <w:r w:rsidRPr="00513378">
        <w:rPr>
          <w:rFonts w:eastAsia="Times New Roman"/>
          <w:color w:val="222222"/>
        </w:rPr>
        <w:t>); and He would expect the same from His servants, though the situation is often quite different today. However, the day is coming when nothing will remain hidden or be kept secret (</w:t>
      </w:r>
      <w:hyperlink r:id="rId9" w:history="1">
        <w:r w:rsidRPr="00513378">
          <w:rPr>
            <w:rFonts w:eastAsia="Times New Roman"/>
            <w:color w:val="0062B5"/>
            <w:u w:val="single"/>
          </w:rPr>
          <w:t>Mark 4:22</w:t>
        </w:r>
      </w:hyperlink>
      <w:r w:rsidRPr="00513378">
        <w:rPr>
          <w:rFonts w:eastAsia="Times New Roman"/>
          <w:color w:val="222222"/>
        </w:rPr>
        <w:t xml:space="preserve">; </w:t>
      </w:r>
      <w:hyperlink r:id="rId10" w:history="1">
        <w:r w:rsidRPr="00513378">
          <w:rPr>
            <w:rFonts w:eastAsia="Times New Roman"/>
            <w:color w:val="0062B5"/>
            <w:u w:val="single"/>
          </w:rPr>
          <w:t>Luke 8:17</w:t>
        </w:r>
      </w:hyperlink>
      <w:r w:rsidRPr="00513378">
        <w:rPr>
          <w:rFonts w:eastAsia="Times New Roman"/>
          <w:color w:val="222222"/>
        </w:rPr>
        <w:t>). Paul, in his message to those at Rome, stated:</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600"/>
        <w:rPr>
          <w:rFonts w:eastAsia="Times New Roman"/>
          <w:color w:val="222222"/>
        </w:rPr>
      </w:pPr>
      <w:r w:rsidRPr="00513378">
        <w:rPr>
          <w:rFonts w:eastAsia="Times New Roman"/>
          <w:i/>
          <w:iCs/>
          <w:color w:val="222222"/>
        </w:rPr>
        <w:t>“…God shall judge the secrets of men by Jesus Christ according to my gospel”</w:t>
      </w:r>
      <w:r w:rsidRPr="00513378">
        <w:rPr>
          <w:rFonts w:eastAsia="Times New Roman"/>
          <w:color w:val="222222"/>
        </w:rPr>
        <w:t xml:space="preserve"> (</w:t>
      </w:r>
      <w:hyperlink r:id="rId11" w:history="1">
        <w:r w:rsidRPr="00513378">
          <w:rPr>
            <w:rFonts w:eastAsia="Times New Roman"/>
            <w:color w:val="0062B5"/>
            <w:u w:val="single"/>
          </w:rPr>
          <w:t>Romans 2:16</w:t>
        </w:r>
      </w:hyperlink>
      <w:r w:rsidRPr="00513378">
        <w:rPr>
          <w:rFonts w:eastAsia="Times New Roman"/>
          <w:color w:val="222222"/>
        </w:rPr>
        <w:t>).</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1200"/>
        <w:rPr>
          <w:rFonts w:eastAsia="Times New Roman"/>
          <w:color w:val="222222"/>
        </w:rPr>
      </w:pPr>
      <w:r w:rsidRPr="00513378">
        <w:rPr>
          <w:rFonts w:eastAsia="Times New Roman"/>
          <w:color w:val="222222"/>
        </w:rPr>
        <w:t xml:space="preserve">(Paul proclaimed both the gospel of grace and the gospel of glory; but the reference in </w:t>
      </w:r>
      <w:hyperlink r:id="rId12" w:history="1">
        <w:r w:rsidRPr="00513378">
          <w:rPr>
            <w:rFonts w:eastAsia="Times New Roman"/>
            <w:color w:val="0062B5"/>
            <w:u w:val="single"/>
          </w:rPr>
          <w:t>Romans 2:16</w:t>
        </w:r>
      </w:hyperlink>
      <w:r w:rsidRPr="00513378">
        <w:rPr>
          <w:rFonts w:eastAsia="Times New Roman"/>
          <w:color w:val="222222"/>
        </w:rPr>
        <w:t xml:space="preserve"> can pertain only to </w:t>
      </w:r>
      <w:r w:rsidRPr="00513378">
        <w:rPr>
          <w:rFonts w:eastAsia="Times New Roman"/>
          <w:i/>
          <w:iCs/>
          <w:color w:val="222222"/>
        </w:rPr>
        <w:t>the gospel of glory</w:t>
      </w:r>
      <w:r w:rsidRPr="00513378">
        <w:rPr>
          <w:rFonts w:eastAsia="Times New Roman"/>
          <w:color w:val="222222"/>
        </w:rPr>
        <w:t xml:space="preserve">, for no future judgment of the “secrets of men” awaits individuals in relation to the gospel of grace. Paul’s gospel in this passage [and elsewhere in the Pauline epistles where the expressions “my gospel” or “our gospel” appear] must be looked upon as the good news concerning the coming glory of Christ [“meat in due season”], to be proclaimed </w:t>
      </w:r>
      <w:r w:rsidRPr="00513378">
        <w:rPr>
          <w:rFonts w:eastAsia="Times New Roman"/>
          <w:i/>
          <w:iCs/>
          <w:color w:val="222222"/>
        </w:rPr>
        <w:t>to stewards in the house</w:t>
      </w:r>
      <w:r w:rsidRPr="00513378">
        <w:rPr>
          <w:rFonts w:eastAsia="Times New Roman"/>
          <w:color w:val="222222"/>
        </w:rPr>
        <w:t xml:space="preserve"> [</w:t>
      </w:r>
      <w:r w:rsidRPr="00513378">
        <w:rPr>
          <w:rFonts w:eastAsia="Times New Roman"/>
          <w:i/>
          <w:iCs/>
          <w:color w:val="222222"/>
        </w:rPr>
        <w:t>cf.</w:t>
      </w:r>
      <w:r w:rsidRPr="00513378">
        <w:rPr>
          <w:rFonts w:eastAsia="Times New Roman"/>
          <w:color w:val="222222"/>
        </w:rPr>
        <w:t xml:space="preserve"> </w:t>
      </w:r>
      <w:hyperlink r:id="rId13" w:history="1">
        <w:r w:rsidRPr="00513378">
          <w:rPr>
            <w:rFonts w:eastAsia="Times New Roman"/>
            <w:color w:val="0062B5"/>
            <w:u w:val="single"/>
          </w:rPr>
          <w:t>Matthew 24:45</w:t>
        </w:r>
      </w:hyperlink>
      <w:r w:rsidRPr="00513378">
        <w:rPr>
          <w:rFonts w:eastAsia="Times New Roman"/>
          <w:color w:val="222222"/>
        </w:rPr>
        <w:t xml:space="preserve">; </w:t>
      </w:r>
      <w:hyperlink r:id="rId14" w:history="1">
        <w:r w:rsidRPr="00513378">
          <w:rPr>
            <w:rFonts w:eastAsia="Times New Roman"/>
            <w:color w:val="0062B5"/>
            <w:u w:val="single"/>
          </w:rPr>
          <w:t>Romans 16:25</w:t>
        </w:r>
      </w:hyperlink>
      <w:r w:rsidRPr="00513378">
        <w:rPr>
          <w:rFonts w:eastAsia="Times New Roman"/>
          <w:color w:val="222222"/>
        </w:rPr>
        <w:t xml:space="preserve">; </w:t>
      </w:r>
      <w:hyperlink r:id="rId15" w:history="1">
        <w:r w:rsidRPr="00513378">
          <w:rPr>
            <w:rFonts w:eastAsia="Times New Roman"/>
            <w:color w:val="0062B5"/>
            <w:u w:val="single"/>
          </w:rPr>
          <w:t>II Corinthians 4:3-4</w:t>
        </w:r>
      </w:hyperlink>
      <w:r w:rsidRPr="00513378">
        <w:rPr>
          <w:rFonts w:eastAsia="Times New Roman"/>
          <w:color w:val="222222"/>
        </w:rPr>
        <w:t xml:space="preserve">; </w:t>
      </w:r>
      <w:hyperlink r:id="rId16" w:history="1">
        <w:r w:rsidRPr="00513378">
          <w:rPr>
            <w:rFonts w:eastAsia="Times New Roman"/>
            <w:color w:val="0062B5"/>
            <w:u w:val="single"/>
          </w:rPr>
          <w:t>Galatians 1:11-12</w:t>
        </w:r>
      </w:hyperlink>
      <w:r w:rsidRPr="00513378">
        <w:rPr>
          <w:rFonts w:eastAsia="Times New Roman"/>
          <w:color w:val="222222"/>
        </w:rPr>
        <w:t xml:space="preserve">; </w:t>
      </w:r>
      <w:hyperlink r:id="rId17" w:history="1">
        <w:r w:rsidRPr="00513378">
          <w:rPr>
            <w:rFonts w:eastAsia="Times New Roman"/>
            <w:color w:val="0062B5"/>
            <w:u w:val="single"/>
          </w:rPr>
          <w:t>Ephesians 3:1-6</w:t>
        </w:r>
      </w:hyperlink>
      <w:r w:rsidRPr="00513378">
        <w:rPr>
          <w:rFonts w:eastAsia="Times New Roman"/>
          <w:color w:val="222222"/>
        </w:rPr>
        <w:t xml:space="preserve">; </w:t>
      </w:r>
      <w:hyperlink r:id="rId18" w:history="1">
        <w:r w:rsidRPr="00513378">
          <w:rPr>
            <w:rFonts w:eastAsia="Times New Roman"/>
            <w:color w:val="0062B5"/>
            <w:u w:val="single"/>
          </w:rPr>
          <w:t>I Thessalonians 1:5</w:t>
        </w:r>
      </w:hyperlink>
      <w:r w:rsidRPr="00513378">
        <w:rPr>
          <w:rFonts w:eastAsia="Times New Roman"/>
          <w:color w:val="222222"/>
        </w:rPr>
        <w:t xml:space="preserve">; </w:t>
      </w:r>
      <w:hyperlink r:id="rId19" w:history="1">
        <w:r w:rsidRPr="00513378">
          <w:rPr>
            <w:rFonts w:eastAsia="Times New Roman"/>
            <w:color w:val="0062B5"/>
            <w:u w:val="single"/>
          </w:rPr>
          <w:t>II Thessalonians 2:14</w:t>
        </w:r>
      </w:hyperlink>
      <w:r w:rsidRPr="00513378">
        <w:rPr>
          <w:rFonts w:eastAsia="Times New Roman"/>
          <w:color w:val="222222"/>
        </w:rPr>
        <w:t xml:space="preserve">; </w:t>
      </w:r>
      <w:hyperlink r:id="rId20" w:history="1">
        <w:r w:rsidRPr="00513378">
          <w:rPr>
            <w:rFonts w:eastAsia="Times New Roman"/>
            <w:color w:val="0062B5"/>
            <w:u w:val="single"/>
          </w:rPr>
          <w:t>I Timothy 1:11</w:t>
        </w:r>
      </w:hyperlink>
      <w:r w:rsidRPr="00513378">
        <w:rPr>
          <w:rFonts w:eastAsia="Times New Roman"/>
          <w:color w:val="222222"/>
        </w:rPr>
        <w:t xml:space="preserve">; </w:t>
      </w:r>
      <w:hyperlink r:id="rId21" w:history="1">
        <w:r w:rsidRPr="00513378">
          <w:rPr>
            <w:rFonts w:eastAsia="Times New Roman"/>
            <w:color w:val="0062B5"/>
            <w:u w:val="single"/>
          </w:rPr>
          <w:t>II Timothy 2:8</w:t>
        </w:r>
      </w:hyperlink>
      <w:r w:rsidRPr="00513378">
        <w:rPr>
          <w:rFonts w:eastAsia="Times New Roman"/>
          <w:color w:val="222222"/>
        </w:rPr>
        <w:t>].</w:t>
      </w:r>
    </w:p>
    <w:p w:rsidR="00513378" w:rsidRPr="00513378" w:rsidRDefault="00513378" w:rsidP="00513378">
      <w:pPr>
        <w:shd w:val="clear" w:color="auto" w:fill="FFFFFF"/>
        <w:ind w:left="1200"/>
        <w:rPr>
          <w:rFonts w:eastAsia="Times New Roman"/>
          <w:color w:val="222222"/>
        </w:rPr>
      </w:pPr>
    </w:p>
    <w:p w:rsidR="00513378" w:rsidRPr="00513378" w:rsidRDefault="00513378" w:rsidP="00513378">
      <w:pPr>
        <w:shd w:val="clear" w:color="auto" w:fill="FFFFFF"/>
        <w:ind w:left="1200"/>
        <w:rPr>
          <w:rFonts w:eastAsia="Times New Roman"/>
          <w:color w:val="222222"/>
        </w:rPr>
      </w:pPr>
      <w:r w:rsidRPr="00513378">
        <w:rPr>
          <w:rFonts w:eastAsia="Times New Roman"/>
          <w:color w:val="222222"/>
        </w:rPr>
        <w:t>This gospel deals with the message concerning present faithfulness of household servants, with a view to their occupying positions as co-heirs with Christ in the kingdom [</w:t>
      </w:r>
      <w:r w:rsidRPr="00513378">
        <w:rPr>
          <w:rFonts w:eastAsia="Times New Roman"/>
          <w:i/>
          <w:iCs/>
          <w:color w:val="222222"/>
        </w:rPr>
        <w:t>e.g</w:t>
      </w:r>
      <w:r w:rsidRPr="00513378">
        <w:rPr>
          <w:rFonts w:eastAsia="Times New Roman"/>
          <w:color w:val="222222"/>
        </w:rPr>
        <w:t xml:space="preserve">., note the context of </w:t>
      </w:r>
      <w:hyperlink r:id="rId22" w:history="1">
        <w:r w:rsidRPr="00513378">
          <w:rPr>
            <w:rFonts w:eastAsia="Times New Roman"/>
            <w:color w:val="0062B5"/>
            <w:u w:val="single"/>
          </w:rPr>
          <w:t>II Timothy 2:8</w:t>
        </w:r>
      </w:hyperlink>
      <w:r w:rsidRPr="00513378">
        <w:rPr>
          <w:rFonts w:eastAsia="Times New Roman"/>
          <w:color w:val="222222"/>
        </w:rPr>
        <w:t>].)</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The unfaithful servants in both the parable of the talents and the parable of the pounds accused their Lord of the same thing in order to justify their failure to use the goods entrusted to their care. They accused their Lord of reaping a harvest and deriving an increase through the labors of others, which was true, but viewed from a completely erroneous perspective (</w:t>
      </w:r>
      <w:hyperlink r:id="rId23" w:history="1">
        <w:r w:rsidRPr="00513378">
          <w:rPr>
            <w:rFonts w:eastAsia="Times New Roman"/>
            <w:color w:val="0062B5"/>
            <w:u w:val="single"/>
          </w:rPr>
          <w:t>Matthew 25:24-27</w:t>
        </w:r>
      </w:hyperlink>
      <w:r w:rsidRPr="00513378">
        <w:rPr>
          <w:rFonts w:eastAsia="Times New Roman"/>
          <w:color w:val="222222"/>
        </w:rPr>
        <w:t xml:space="preserve">; </w:t>
      </w:r>
      <w:hyperlink r:id="rId24" w:history="1">
        <w:r w:rsidRPr="00513378">
          <w:rPr>
            <w:rFonts w:eastAsia="Times New Roman"/>
            <w:color w:val="0062B5"/>
            <w:u w:val="single"/>
          </w:rPr>
          <w:t>Luke 19:21-23</w:t>
        </w:r>
      </w:hyperlink>
      <w:r w:rsidRPr="00513378">
        <w:rPr>
          <w:rFonts w:eastAsia="Times New Roman"/>
          <w:color w:val="222222"/>
        </w:rPr>
        <w:t>).</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They looked upon the entire matter from a carnal, humanistic viewpoint, rejecting spiritual values. They envisioned their Lord doing these things only for self-gain, and they gave little or no thought to the revealed reason concerning why the Householder was conducting affairs in His house after this fashion (which they should have known, from the revealed Word).</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The Householder had a relationship with His servants of this nature for a </w:t>
      </w:r>
      <w:r w:rsidRPr="00513378">
        <w:rPr>
          <w:rFonts w:eastAsia="Times New Roman"/>
          <w:i/>
          <w:iCs/>
          <w:color w:val="222222"/>
        </w:rPr>
        <w:t>purpose</w:t>
      </w:r>
      <w:r w:rsidRPr="00513378">
        <w:rPr>
          <w:rFonts w:eastAsia="Times New Roman"/>
          <w:color w:val="222222"/>
        </w:rPr>
        <w:t xml:space="preserve"> involving far more than just self-gain, as supposed by the unfaithful servants. The Householder, </w:t>
      </w:r>
      <w:r w:rsidRPr="00513378">
        <w:rPr>
          <w:rFonts w:eastAsia="Times New Roman"/>
          <w:i/>
          <w:iCs/>
          <w:color w:val="222222"/>
        </w:rPr>
        <w:t>for a particular reason</w:t>
      </w:r>
      <w:r w:rsidRPr="00513378">
        <w:rPr>
          <w:rFonts w:eastAsia="Times New Roman"/>
          <w:color w:val="222222"/>
        </w:rPr>
        <w:t>, had delivered His goods to His servants and assigned them responsible positions in the house, with a view to their bringing forth an increase (bringing forth fruit).</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Servitude during the present day of trials and </w:t>
      </w:r>
      <w:proofErr w:type="spellStart"/>
      <w:r w:rsidRPr="00513378">
        <w:rPr>
          <w:rFonts w:eastAsia="Times New Roman"/>
          <w:color w:val="222222"/>
        </w:rPr>
        <w:t>testings</w:t>
      </w:r>
      <w:proofErr w:type="spellEnd"/>
      <w:r w:rsidRPr="00513378">
        <w:rPr>
          <w:rFonts w:eastAsia="Times New Roman"/>
          <w:color w:val="222222"/>
        </w:rPr>
        <w:t xml:space="preserve"> would be </w:t>
      </w:r>
      <w:r w:rsidRPr="00513378">
        <w:rPr>
          <w:rFonts w:eastAsia="Times New Roman"/>
          <w:i/>
          <w:iCs/>
          <w:color w:val="222222"/>
        </w:rPr>
        <w:t>the means</w:t>
      </w:r>
      <w:r w:rsidRPr="00513378">
        <w:rPr>
          <w:rFonts w:eastAsia="Times New Roman"/>
          <w:color w:val="222222"/>
        </w:rPr>
        <w:t xml:space="preserve"> through which the Householder could one day elevate His servants from positions in the house to positions in the kingdom. The Householder was allowing them, through </w:t>
      </w:r>
      <w:r w:rsidRPr="00513378">
        <w:rPr>
          <w:rFonts w:eastAsia="Times New Roman"/>
          <w:i/>
          <w:iCs/>
          <w:color w:val="222222"/>
        </w:rPr>
        <w:t>faithfulness in lesser responsibility</w:t>
      </w:r>
      <w:r w:rsidRPr="00513378">
        <w:rPr>
          <w:rFonts w:eastAsia="Times New Roman"/>
          <w:color w:val="222222"/>
        </w:rPr>
        <w:t xml:space="preserve">, to show that they were qualified </w:t>
      </w:r>
      <w:r w:rsidRPr="00513378">
        <w:rPr>
          <w:rFonts w:eastAsia="Times New Roman"/>
          <w:i/>
          <w:iCs/>
          <w:color w:val="222222"/>
        </w:rPr>
        <w:t>to assume greater responsibility</w:t>
      </w:r>
      <w:r w:rsidRPr="00513378">
        <w:rPr>
          <w:rFonts w:eastAsia="Times New Roman"/>
          <w:color w:val="222222"/>
        </w:rPr>
        <w:t xml:space="preserve"> (</w:t>
      </w:r>
      <w:r w:rsidRPr="00513378">
        <w:rPr>
          <w:rFonts w:eastAsia="Times New Roman"/>
          <w:i/>
          <w:iCs/>
          <w:color w:val="222222"/>
        </w:rPr>
        <w:t>cf.</w:t>
      </w:r>
      <w:r w:rsidRPr="00513378">
        <w:rPr>
          <w:rFonts w:eastAsia="Times New Roman"/>
          <w:color w:val="222222"/>
        </w:rPr>
        <w:t xml:space="preserve"> </w:t>
      </w:r>
      <w:hyperlink r:id="rId25" w:history="1">
        <w:r w:rsidRPr="00513378">
          <w:rPr>
            <w:rFonts w:eastAsia="Times New Roman"/>
            <w:color w:val="0062B5"/>
            <w:u w:val="single"/>
          </w:rPr>
          <w:t>Matthew 25:29</w:t>
        </w:r>
      </w:hyperlink>
      <w:r w:rsidRPr="00513378">
        <w:rPr>
          <w:rFonts w:eastAsia="Times New Roman"/>
          <w:color w:val="222222"/>
        </w:rPr>
        <w:t xml:space="preserve">; </w:t>
      </w:r>
      <w:hyperlink r:id="rId26" w:history="1">
        <w:r w:rsidRPr="00513378">
          <w:rPr>
            <w:rFonts w:eastAsia="Times New Roman"/>
            <w:color w:val="0062B5"/>
            <w:u w:val="single"/>
          </w:rPr>
          <w:t>Luke 16:10-12</w:t>
        </w:r>
      </w:hyperlink>
      <w:r w:rsidRPr="00513378">
        <w:rPr>
          <w:rFonts w:eastAsia="Times New Roman"/>
          <w:color w:val="222222"/>
        </w:rPr>
        <w:t xml:space="preserve">; </w:t>
      </w:r>
      <w:hyperlink r:id="rId27" w:history="1">
        <w:r w:rsidRPr="00513378">
          <w:rPr>
            <w:rFonts w:eastAsia="Times New Roman"/>
            <w:color w:val="0062B5"/>
            <w:u w:val="single"/>
          </w:rPr>
          <w:t>19:26</w:t>
        </w:r>
      </w:hyperlink>
      <w:r w:rsidRPr="00513378">
        <w:rPr>
          <w:rFonts w:eastAsia="Times New Roman"/>
          <w:color w:val="222222"/>
        </w:rPr>
        <w:t xml:space="preserve">); and upon the Householder’s reception of the kingdom and His return in possession of the kingdom, those servants having shown themselves qualified could be elevated </w:t>
      </w:r>
      <w:r w:rsidRPr="00513378">
        <w:rPr>
          <w:rFonts w:eastAsia="Times New Roman"/>
          <w:i/>
          <w:iCs/>
          <w:color w:val="222222"/>
        </w:rPr>
        <w:t>from household servants of their Master to co-heirs with their Master.</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The self-gain which the Householder would eventually realize was </w:t>
      </w:r>
      <w:r w:rsidRPr="00513378">
        <w:rPr>
          <w:rFonts w:eastAsia="Times New Roman"/>
          <w:i/>
          <w:iCs/>
          <w:color w:val="222222"/>
        </w:rPr>
        <w:t>that of gaining co-heirs, gaining companions, to ascend the throne with Him in His kingdom</w:t>
      </w:r>
      <w:r w:rsidRPr="00513378">
        <w:rPr>
          <w:rFonts w:eastAsia="Times New Roman"/>
          <w:color w:val="222222"/>
        </w:rPr>
        <w:t>. The work in the fields was to be accomplished by the household servants, using their Master’s possessions (using that belonging to the Master of the house); and the work was to be accomplished on the Master’s behalf.</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The Householder, </w:t>
      </w:r>
      <w:r w:rsidRPr="00513378">
        <w:rPr>
          <w:rFonts w:eastAsia="Times New Roman"/>
          <w:i/>
          <w:iCs/>
          <w:color w:val="222222"/>
        </w:rPr>
        <w:t>through this means</w:t>
      </w:r>
      <w:r w:rsidRPr="00513378">
        <w:rPr>
          <w:rFonts w:eastAsia="Times New Roman"/>
          <w:color w:val="222222"/>
        </w:rPr>
        <w:t xml:space="preserve">, was extending to His servants </w:t>
      </w:r>
      <w:r w:rsidRPr="00513378">
        <w:rPr>
          <w:rFonts w:eastAsia="Times New Roman"/>
          <w:i/>
          <w:iCs/>
          <w:color w:val="222222"/>
        </w:rPr>
        <w:t>the privilege of earning positions with Him in the kingdom</w:t>
      </w:r>
      <w:r w:rsidRPr="00513378">
        <w:rPr>
          <w:rFonts w:eastAsia="Times New Roman"/>
          <w:color w:val="222222"/>
        </w:rPr>
        <w:t xml:space="preserve">, allowing them to one day be elevated to </w:t>
      </w:r>
      <w:r w:rsidRPr="00513378">
        <w:rPr>
          <w:rFonts w:eastAsia="Times New Roman"/>
          <w:i/>
          <w:iCs/>
          <w:color w:val="222222"/>
        </w:rPr>
        <w:t>the highest place of honor and glory one could possibly receive</w:t>
      </w:r>
      <w:r w:rsidRPr="00513378">
        <w:rPr>
          <w:rFonts w:eastAsia="Times New Roman"/>
          <w:color w:val="222222"/>
        </w:rPr>
        <w:t xml:space="preserve"> (when Christ’s “greatest regal magnificence” [literal rendering of “majesty” in </w:t>
      </w:r>
      <w:hyperlink r:id="rId28" w:history="1">
        <w:r w:rsidRPr="00513378">
          <w:rPr>
            <w:rFonts w:eastAsia="Times New Roman"/>
            <w:color w:val="0062B5"/>
            <w:u w:val="single"/>
          </w:rPr>
          <w:t>II Peter 1:16</w:t>
        </w:r>
      </w:hyperlink>
      <w:r w:rsidRPr="00513378">
        <w:rPr>
          <w:rFonts w:eastAsia="Times New Roman"/>
          <w:color w:val="222222"/>
        </w:rPr>
        <w:t xml:space="preserve"> from a superlative in the Greek text] will be manifested for all to behold). They would be recompensed for their labors by being elevated into positions as </w:t>
      </w:r>
      <w:r w:rsidRPr="00513378">
        <w:rPr>
          <w:rFonts w:eastAsia="Times New Roman"/>
          <w:i/>
          <w:iCs/>
          <w:color w:val="222222"/>
        </w:rPr>
        <w:t>coheirs with the Householder in His kingdom</w:t>
      </w:r>
      <w:r w:rsidRPr="00513378">
        <w:rPr>
          <w:rFonts w:eastAsia="Times New Roman"/>
          <w:color w:val="222222"/>
        </w:rPr>
        <w:t xml:space="preserve">. The fruits of their labors would not only benefit the Householder but the servants as well, with the Householder and His servants </w:t>
      </w:r>
      <w:r w:rsidRPr="00513378">
        <w:rPr>
          <w:rFonts w:eastAsia="Times New Roman"/>
          <w:i/>
          <w:iCs/>
          <w:color w:val="222222"/>
        </w:rPr>
        <w:t>both realizing the results together.</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b/>
          <w:bCs/>
          <w:color w:val="222222"/>
        </w:rPr>
        <w:t>The Lord’s Response</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The thought of </w:t>
      </w:r>
      <w:r w:rsidRPr="00513378">
        <w:rPr>
          <w:rFonts w:eastAsia="Times New Roman"/>
          <w:i/>
          <w:iCs/>
          <w:color w:val="222222"/>
        </w:rPr>
        <w:t>labor for the Lord during the present day in view of co-heirship with Him during that coming day</w:t>
      </w:r>
      <w:r w:rsidRPr="00513378">
        <w:rPr>
          <w:rFonts w:eastAsia="Times New Roman"/>
          <w:color w:val="222222"/>
        </w:rPr>
        <w:t xml:space="preserve"> is something which appears to have </w:t>
      </w:r>
      <w:r w:rsidRPr="00513378">
        <w:rPr>
          <w:rFonts w:eastAsia="Times New Roman"/>
          <w:i/>
          <w:iCs/>
          <w:color w:val="222222"/>
        </w:rPr>
        <w:t>completely escaped</w:t>
      </w:r>
      <w:r w:rsidRPr="00513378">
        <w:rPr>
          <w:rFonts w:eastAsia="Times New Roman"/>
          <w:color w:val="222222"/>
        </w:rPr>
        <w:t xml:space="preserve"> the attention of the unfaithful servants in both parables. The unfaithful servants could not grasp at all that which their Master had in mind through requiring labor on His behalf.</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Ignorance of His plans and purposes for both present and future times not only led them into gross error but it caused them to govern their activities as household servants after such a fashion that they </w:t>
      </w:r>
      <w:r w:rsidRPr="00513378">
        <w:rPr>
          <w:rFonts w:eastAsia="Times New Roman"/>
          <w:i/>
          <w:iCs/>
          <w:color w:val="222222"/>
        </w:rPr>
        <w:t>mismanaged</w:t>
      </w:r>
      <w:r w:rsidRPr="00513378">
        <w:rPr>
          <w:rFonts w:eastAsia="Times New Roman"/>
          <w:color w:val="222222"/>
        </w:rPr>
        <w:t xml:space="preserve"> the Householder’s affairs, ultimately resulting in their being </w:t>
      </w:r>
      <w:r w:rsidRPr="00513378">
        <w:rPr>
          <w:rFonts w:eastAsia="Times New Roman"/>
          <w:i/>
          <w:iCs/>
          <w:color w:val="222222"/>
        </w:rPr>
        <w:t>rejected</w:t>
      </w:r>
      <w:r w:rsidRPr="00513378">
        <w:rPr>
          <w:rFonts w:eastAsia="Times New Roman"/>
          <w:color w:val="222222"/>
        </w:rPr>
        <w:t xml:space="preserve"> for positions in the kingdom. There was </w:t>
      </w:r>
      <w:r w:rsidRPr="00513378">
        <w:rPr>
          <w:rFonts w:eastAsia="Times New Roman"/>
          <w:i/>
          <w:iCs/>
          <w:color w:val="222222"/>
        </w:rPr>
        <w:t>no increase for their Master, resulting in no advancement for them.</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The profitless servants in both parables had failed to properly conduct their affairs within the scope of delegated household responsibility. They had not used the talent/pound to bring forth an increase (</w:t>
      </w:r>
      <w:hyperlink r:id="rId29" w:history="1">
        <w:r w:rsidRPr="00513378">
          <w:rPr>
            <w:rFonts w:eastAsia="Times New Roman"/>
            <w:color w:val="0062B5"/>
            <w:u w:val="single"/>
          </w:rPr>
          <w:t>Matthew 25:27</w:t>
        </w:r>
      </w:hyperlink>
      <w:r w:rsidRPr="00513378">
        <w:rPr>
          <w:rFonts w:eastAsia="Times New Roman"/>
          <w:color w:val="222222"/>
        </w:rPr>
        <w:t xml:space="preserve">; </w:t>
      </w:r>
      <w:hyperlink r:id="rId30" w:history="1">
        <w:r w:rsidRPr="00513378">
          <w:rPr>
            <w:rFonts w:eastAsia="Times New Roman"/>
            <w:color w:val="0062B5"/>
            <w:u w:val="single"/>
          </w:rPr>
          <w:t>Luke 19:23</w:t>
        </w:r>
      </w:hyperlink>
      <w:r w:rsidRPr="00513378">
        <w:rPr>
          <w:rFonts w:eastAsia="Times New Roman"/>
          <w:color w:val="222222"/>
        </w:rPr>
        <w:t xml:space="preserve"> [“usury” in these verses is the translation of a Greek word meaning </w:t>
      </w:r>
      <w:r w:rsidRPr="00513378">
        <w:rPr>
          <w:rFonts w:eastAsia="Times New Roman"/>
          <w:i/>
          <w:iCs/>
          <w:color w:val="222222"/>
        </w:rPr>
        <w:t xml:space="preserve">interest </w:t>
      </w:r>
      <w:r w:rsidRPr="00513378">
        <w:rPr>
          <w:rFonts w:eastAsia="Times New Roman"/>
          <w:color w:val="222222"/>
        </w:rPr>
        <w:t>on money loaned or invested]).</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The Lord’s sharp rebuke, followed by chastisement, was occasioned by the dual ramifications resulting from the servants’ disobedience. Appearing in the Lord’s presence as profitless servants meant:</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600"/>
        <w:rPr>
          <w:rFonts w:eastAsia="Times New Roman"/>
          <w:color w:val="222222"/>
        </w:rPr>
      </w:pPr>
      <w:r w:rsidRPr="00513378">
        <w:rPr>
          <w:rFonts w:eastAsia="Times New Roman"/>
          <w:i/>
          <w:iCs/>
          <w:color w:val="222222"/>
        </w:rPr>
        <w:t>1) No gain for the Lord.</w:t>
      </w:r>
    </w:p>
    <w:p w:rsidR="00513378" w:rsidRPr="00513378" w:rsidRDefault="00513378" w:rsidP="00513378">
      <w:pPr>
        <w:shd w:val="clear" w:color="auto" w:fill="FFFFFF"/>
        <w:ind w:left="600"/>
        <w:rPr>
          <w:rFonts w:eastAsia="Times New Roman"/>
          <w:color w:val="222222"/>
        </w:rPr>
      </w:pPr>
    </w:p>
    <w:p w:rsidR="00513378" w:rsidRPr="00513378" w:rsidRDefault="00513378" w:rsidP="00513378">
      <w:pPr>
        <w:shd w:val="clear" w:color="auto" w:fill="FFFFFF"/>
        <w:ind w:left="600"/>
        <w:rPr>
          <w:rFonts w:eastAsia="Times New Roman"/>
          <w:color w:val="222222"/>
        </w:rPr>
      </w:pPr>
      <w:r w:rsidRPr="00513378">
        <w:rPr>
          <w:rFonts w:eastAsia="Times New Roman"/>
          <w:i/>
          <w:iCs/>
          <w:color w:val="222222"/>
        </w:rPr>
        <w:t>2) Loss for the servants</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Because of the servants’ failure, those portions of the Lord’s goods which had previously been entrusted to their care were taken from them and given to servants who had already been judged and had been shown to have brought forth increases. Such, as seen, would detract from the former and add to the latter. And the entirety of the matter </w:t>
      </w:r>
      <w:r w:rsidRPr="00513378">
        <w:rPr>
          <w:rFonts w:eastAsia="Times New Roman"/>
          <w:i/>
          <w:iCs/>
          <w:color w:val="222222"/>
        </w:rPr>
        <w:t>is regal — relating to positions of rulership in the kingdom</w:t>
      </w:r>
      <w:r w:rsidRPr="00513378">
        <w:rPr>
          <w:rFonts w:eastAsia="Times New Roman"/>
          <w:color w:val="222222"/>
        </w:rPr>
        <w:t>.</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The principle governing this matter is set forth quite clearly in both parables:</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600"/>
        <w:rPr>
          <w:rFonts w:eastAsia="Times New Roman"/>
          <w:color w:val="222222"/>
        </w:rPr>
      </w:pPr>
      <w:r w:rsidRPr="00513378">
        <w:rPr>
          <w:rFonts w:eastAsia="Times New Roman"/>
          <w:i/>
          <w:iCs/>
          <w:color w:val="222222"/>
        </w:rPr>
        <w:t>“Take therefore the talent from him, and give it unto him which hath ten talents.</w:t>
      </w:r>
    </w:p>
    <w:p w:rsidR="00513378" w:rsidRPr="00513378" w:rsidRDefault="00513378" w:rsidP="00513378">
      <w:pPr>
        <w:shd w:val="clear" w:color="auto" w:fill="FFFFFF"/>
        <w:ind w:left="600"/>
        <w:rPr>
          <w:rFonts w:eastAsia="Times New Roman"/>
          <w:color w:val="222222"/>
        </w:rPr>
      </w:pPr>
    </w:p>
    <w:p w:rsidR="00513378" w:rsidRPr="00513378" w:rsidRDefault="00513378" w:rsidP="00513378">
      <w:pPr>
        <w:shd w:val="clear" w:color="auto" w:fill="FFFFFF"/>
        <w:ind w:left="600"/>
        <w:rPr>
          <w:rFonts w:eastAsia="Times New Roman"/>
          <w:color w:val="222222"/>
        </w:rPr>
      </w:pPr>
      <w:r w:rsidRPr="00513378">
        <w:rPr>
          <w:rFonts w:eastAsia="Times New Roman"/>
          <w:i/>
          <w:iCs/>
          <w:color w:val="222222"/>
        </w:rPr>
        <w:t xml:space="preserve">For unto everyone that hath shall be given, and he shall have abundance: but from him that hath not shall be taken away even that which he hath” </w:t>
      </w:r>
      <w:r w:rsidRPr="00513378">
        <w:rPr>
          <w:rFonts w:eastAsia="Times New Roman"/>
          <w:color w:val="222222"/>
        </w:rPr>
        <w:t>(</w:t>
      </w:r>
      <w:hyperlink r:id="rId31" w:history="1">
        <w:r w:rsidRPr="00513378">
          <w:rPr>
            <w:rFonts w:eastAsia="Times New Roman"/>
            <w:color w:val="0062B5"/>
            <w:u w:val="single"/>
          </w:rPr>
          <w:t>Matthew 25:28-29</w:t>
        </w:r>
      </w:hyperlink>
      <w:r w:rsidRPr="00513378">
        <w:rPr>
          <w:rFonts w:eastAsia="Times New Roman"/>
          <w:color w:val="222222"/>
        </w:rPr>
        <w:t>;</w:t>
      </w:r>
      <w:r w:rsidRPr="00513378">
        <w:rPr>
          <w:rFonts w:eastAsia="Times New Roman"/>
          <w:i/>
          <w:iCs/>
          <w:color w:val="222222"/>
        </w:rPr>
        <w:t xml:space="preserve"> cf</w:t>
      </w:r>
      <w:r w:rsidRPr="00513378">
        <w:rPr>
          <w:rFonts w:eastAsia="Times New Roman"/>
          <w:color w:val="222222"/>
        </w:rPr>
        <w:t xml:space="preserve">. </w:t>
      </w:r>
      <w:hyperlink r:id="rId32" w:history="1">
        <w:r w:rsidRPr="00513378">
          <w:rPr>
            <w:rFonts w:eastAsia="Times New Roman"/>
            <w:color w:val="0062B5"/>
            <w:u w:val="single"/>
          </w:rPr>
          <w:t>Luke 19:24-26</w:t>
        </w:r>
      </w:hyperlink>
      <w:r w:rsidRPr="00513378">
        <w:rPr>
          <w:rFonts w:eastAsia="Times New Roman"/>
          <w:color w:val="222222"/>
        </w:rPr>
        <w:t>).</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1200"/>
        <w:rPr>
          <w:rFonts w:eastAsia="Times New Roman"/>
          <w:color w:val="222222"/>
        </w:rPr>
      </w:pPr>
      <w:r w:rsidRPr="00513378">
        <w:rPr>
          <w:rFonts w:eastAsia="Times New Roman"/>
          <w:color w:val="222222"/>
        </w:rPr>
        <w:t xml:space="preserve">(The faithful servant will have already been elevated into a position as co-heir with his Lord at this time, and an increase in the Lord’s goods, of the nature which this would produce, is shown in both parables </w:t>
      </w:r>
      <w:r w:rsidRPr="00513378">
        <w:rPr>
          <w:rFonts w:eastAsia="Times New Roman"/>
          <w:i/>
          <w:iCs/>
          <w:color w:val="222222"/>
        </w:rPr>
        <w:t>to be directly related to increased responsibility in the kingdom.</w:t>
      </w:r>
    </w:p>
    <w:p w:rsidR="00513378" w:rsidRPr="00513378" w:rsidRDefault="00513378" w:rsidP="00513378">
      <w:pPr>
        <w:shd w:val="clear" w:color="auto" w:fill="FFFFFF"/>
        <w:ind w:left="1200"/>
        <w:rPr>
          <w:rFonts w:eastAsia="Times New Roman"/>
          <w:color w:val="222222"/>
        </w:rPr>
      </w:pPr>
    </w:p>
    <w:p w:rsidR="00513378" w:rsidRPr="00513378" w:rsidRDefault="00513378" w:rsidP="00513378">
      <w:pPr>
        <w:shd w:val="clear" w:color="auto" w:fill="FFFFFF"/>
        <w:ind w:left="1200"/>
        <w:rPr>
          <w:rFonts w:eastAsia="Times New Roman"/>
          <w:color w:val="222222"/>
        </w:rPr>
      </w:pPr>
      <w:r w:rsidRPr="00513378">
        <w:rPr>
          <w:rFonts w:eastAsia="Times New Roman"/>
          <w:color w:val="222222"/>
        </w:rPr>
        <w:t xml:space="preserve">But, that awaiting the servant bringing forth no increase, even that which he has shall be taken away [which, in view of that realized by the faithful servant through a reception of the unfaithful servant’s goods, can only refer </w:t>
      </w:r>
      <w:r w:rsidRPr="00513378">
        <w:rPr>
          <w:rFonts w:eastAsia="Times New Roman"/>
          <w:i/>
          <w:iCs/>
          <w:color w:val="222222"/>
        </w:rPr>
        <w:t>to that which could have been his in the kingdom through having realized the purpose for his salvation and particular calling</w:t>
      </w:r>
      <w:r w:rsidRPr="00513378">
        <w:rPr>
          <w:rFonts w:eastAsia="Times New Roman"/>
          <w:color w:val="222222"/>
        </w:rPr>
        <w:t>].)</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 xml:space="preserve">Numerous positions in the kingdom which the Lord has gone away to receive </w:t>
      </w:r>
      <w:r w:rsidRPr="00513378">
        <w:rPr>
          <w:rFonts w:eastAsia="Times New Roman"/>
          <w:i/>
          <w:iCs/>
          <w:color w:val="222222"/>
        </w:rPr>
        <w:t>must be filled upon His return</w:t>
      </w:r>
      <w:r w:rsidRPr="00513378">
        <w:rPr>
          <w:rFonts w:eastAsia="Times New Roman"/>
          <w:color w:val="222222"/>
        </w:rPr>
        <w:t xml:space="preserve">. The failure of a servant to show himself qualified </w:t>
      </w:r>
      <w:r w:rsidRPr="00513378">
        <w:rPr>
          <w:rFonts w:eastAsia="Times New Roman"/>
          <w:i/>
          <w:iCs/>
          <w:color w:val="222222"/>
        </w:rPr>
        <w:t>will not</w:t>
      </w:r>
      <w:r w:rsidRPr="00513378">
        <w:rPr>
          <w:rFonts w:eastAsia="Times New Roman"/>
          <w:color w:val="222222"/>
        </w:rPr>
        <w:t xml:space="preserve"> leave the position which could have been his unfilled. </w:t>
      </w:r>
      <w:r w:rsidRPr="00513378">
        <w:rPr>
          <w:rFonts w:eastAsia="Times New Roman"/>
          <w:i/>
          <w:iCs/>
          <w:color w:val="222222"/>
        </w:rPr>
        <w:t>The Lord will simply assign that portion to another servant, adding to the responsibility which that servant will have already been accorded.</w:t>
      </w:r>
    </w:p>
    <w:p w:rsidR="00513378" w:rsidRPr="00513378" w:rsidRDefault="00513378" w:rsidP="00513378">
      <w:pPr>
        <w:shd w:val="clear" w:color="auto" w:fill="FFFFFF"/>
        <w:ind w:left="0"/>
        <w:rPr>
          <w:rFonts w:eastAsia="Times New Roman"/>
          <w:color w:val="222222"/>
        </w:rPr>
      </w:pPr>
    </w:p>
    <w:p w:rsidR="00513378" w:rsidRPr="00513378" w:rsidRDefault="00513378" w:rsidP="00513378">
      <w:pPr>
        <w:shd w:val="clear" w:color="auto" w:fill="FFFFFF"/>
        <w:ind w:left="0"/>
        <w:rPr>
          <w:rFonts w:eastAsia="Times New Roman"/>
          <w:color w:val="222222"/>
        </w:rPr>
      </w:pPr>
      <w:r w:rsidRPr="00513378">
        <w:rPr>
          <w:rFonts w:eastAsia="Times New Roman"/>
          <w:color w:val="222222"/>
        </w:rPr>
        <w:t>When all factors are considered, no other meaning can really be derived from the Lord’s action of taking from one servant and giving to another servant at the judgment seat.</w:t>
      </w:r>
    </w:p>
    <w:sectPr w:rsidR="00513378" w:rsidRPr="0051337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78"/>
    <w:rsid w:val="00513378"/>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6DEEE-E46C-4977-B637-D4EBE47F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3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093">
      <w:bodyDiv w:val="1"/>
      <w:marLeft w:val="0"/>
      <w:marRight w:val="0"/>
      <w:marTop w:val="0"/>
      <w:marBottom w:val="0"/>
      <w:divBdr>
        <w:top w:val="none" w:sz="0" w:space="0" w:color="auto"/>
        <w:left w:val="none" w:sz="0" w:space="0" w:color="auto"/>
        <w:bottom w:val="none" w:sz="0" w:space="0" w:color="auto"/>
        <w:right w:val="none" w:sz="0" w:space="0" w:color="auto"/>
      </w:divBdr>
      <w:divsChild>
        <w:div w:id="532616841">
          <w:blockQuote w:val="1"/>
          <w:marLeft w:val="600"/>
          <w:marRight w:val="0"/>
          <w:marTop w:val="0"/>
          <w:marBottom w:val="0"/>
          <w:divBdr>
            <w:top w:val="none" w:sz="0" w:space="0" w:color="auto"/>
            <w:left w:val="none" w:sz="0" w:space="0" w:color="auto"/>
            <w:bottom w:val="none" w:sz="0" w:space="0" w:color="auto"/>
            <w:right w:val="none" w:sz="0" w:space="0" w:color="auto"/>
          </w:divBdr>
          <w:divsChild>
            <w:div w:id="410197528">
              <w:marLeft w:val="0"/>
              <w:marRight w:val="0"/>
              <w:marTop w:val="0"/>
              <w:marBottom w:val="0"/>
              <w:divBdr>
                <w:top w:val="none" w:sz="0" w:space="0" w:color="auto"/>
                <w:left w:val="none" w:sz="0" w:space="0" w:color="auto"/>
                <w:bottom w:val="none" w:sz="0" w:space="0" w:color="auto"/>
                <w:right w:val="none" w:sz="0" w:space="0" w:color="auto"/>
              </w:divBdr>
            </w:div>
          </w:divsChild>
        </w:div>
        <w:div w:id="823668819">
          <w:blockQuote w:val="1"/>
          <w:marLeft w:val="600"/>
          <w:marRight w:val="0"/>
          <w:marTop w:val="0"/>
          <w:marBottom w:val="0"/>
          <w:divBdr>
            <w:top w:val="none" w:sz="0" w:space="0" w:color="auto"/>
            <w:left w:val="none" w:sz="0" w:space="0" w:color="auto"/>
            <w:bottom w:val="none" w:sz="0" w:space="0" w:color="auto"/>
            <w:right w:val="none" w:sz="0" w:space="0" w:color="auto"/>
          </w:divBdr>
          <w:divsChild>
            <w:div w:id="445004225">
              <w:marLeft w:val="0"/>
              <w:marRight w:val="0"/>
              <w:marTop w:val="0"/>
              <w:marBottom w:val="0"/>
              <w:divBdr>
                <w:top w:val="none" w:sz="0" w:space="0" w:color="auto"/>
                <w:left w:val="none" w:sz="0" w:space="0" w:color="auto"/>
                <w:bottom w:val="none" w:sz="0" w:space="0" w:color="auto"/>
                <w:right w:val="none" w:sz="0" w:space="0" w:color="auto"/>
              </w:divBdr>
            </w:div>
          </w:divsChild>
        </w:div>
        <w:div w:id="1841921813">
          <w:blockQuote w:val="1"/>
          <w:marLeft w:val="600"/>
          <w:marRight w:val="0"/>
          <w:marTop w:val="0"/>
          <w:marBottom w:val="0"/>
          <w:divBdr>
            <w:top w:val="none" w:sz="0" w:space="0" w:color="auto"/>
            <w:left w:val="none" w:sz="0" w:space="0" w:color="auto"/>
            <w:bottom w:val="none" w:sz="0" w:space="0" w:color="auto"/>
            <w:right w:val="none" w:sz="0" w:space="0" w:color="auto"/>
          </w:divBdr>
          <w:divsChild>
            <w:div w:id="691145794">
              <w:blockQuote w:val="1"/>
              <w:marLeft w:val="600"/>
              <w:marRight w:val="0"/>
              <w:marTop w:val="0"/>
              <w:marBottom w:val="0"/>
              <w:divBdr>
                <w:top w:val="none" w:sz="0" w:space="0" w:color="auto"/>
                <w:left w:val="none" w:sz="0" w:space="0" w:color="auto"/>
                <w:bottom w:val="none" w:sz="0" w:space="0" w:color="auto"/>
                <w:right w:val="none" w:sz="0" w:space="0" w:color="auto"/>
              </w:divBdr>
              <w:divsChild>
                <w:div w:id="1789658046">
                  <w:marLeft w:val="0"/>
                  <w:marRight w:val="0"/>
                  <w:marTop w:val="0"/>
                  <w:marBottom w:val="0"/>
                  <w:divBdr>
                    <w:top w:val="none" w:sz="0" w:space="0" w:color="auto"/>
                    <w:left w:val="none" w:sz="0" w:space="0" w:color="auto"/>
                    <w:bottom w:val="none" w:sz="0" w:space="0" w:color="auto"/>
                    <w:right w:val="none" w:sz="0" w:space="0" w:color="auto"/>
                  </w:divBdr>
                </w:div>
              </w:divsChild>
            </w:div>
            <w:div w:id="642393090">
              <w:blockQuote w:val="1"/>
              <w:marLeft w:val="600"/>
              <w:marRight w:val="0"/>
              <w:marTop w:val="0"/>
              <w:marBottom w:val="0"/>
              <w:divBdr>
                <w:top w:val="none" w:sz="0" w:space="0" w:color="auto"/>
                <w:left w:val="none" w:sz="0" w:space="0" w:color="auto"/>
                <w:bottom w:val="none" w:sz="0" w:space="0" w:color="auto"/>
                <w:right w:val="none" w:sz="0" w:space="0" w:color="auto"/>
              </w:divBdr>
              <w:divsChild>
                <w:div w:id="1082992257">
                  <w:marLeft w:val="0"/>
                  <w:marRight w:val="0"/>
                  <w:marTop w:val="0"/>
                  <w:marBottom w:val="0"/>
                  <w:divBdr>
                    <w:top w:val="none" w:sz="0" w:space="0" w:color="auto"/>
                    <w:left w:val="none" w:sz="0" w:space="0" w:color="auto"/>
                    <w:bottom w:val="none" w:sz="0" w:space="0" w:color="auto"/>
                    <w:right w:val="none" w:sz="0" w:space="0" w:color="auto"/>
                  </w:divBdr>
                </w:div>
              </w:divsChild>
            </w:div>
            <w:div w:id="1446269010">
              <w:blockQuote w:val="1"/>
              <w:marLeft w:val="600"/>
              <w:marRight w:val="0"/>
              <w:marTop w:val="0"/>
              <w:marBottom w:val="0"/>
              <w:divBdr>
                <w:top w:val="none" w:sz="0" w:space="0" w:color="auto"/>
                <w:left w:val="none" w:sz="0" w:space="0" w:color="auto"/>
                <w:bottom w:val="none" w:sz="0" w:space="0" w:color="auto"/>
                <w:right w:val="none" w:sz="0" w:space="0" w:color="auto"/>
              </w:divBdr>
              <w:divsChild>
                <w:div w:id="17126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2278">
          <w:blockQuote w:val="1"/>
          <w:marLeft w:val="600"/>
          <w:marRight w:val="0"/>
          <w:marTop w:val="0"/>
          <w:marBottom w:val="0"/>
          <w:divBdr>
            <w:top w:val="none" w:sz="0" w:space="0" w:color="auto"/>
            <w:left w:val="none" w:sz="0" w:space="0" w:color="auto"/>
            <w:bottom w:val="none" w:sz="0" w:space="0" w:color="auto"/>
            <w:right w:val="none" w:sz="0" w:space="0" w:color="auto"/>
          </w:divBdr>
          <w:divsChild>
            <w:div w:id="2093968692">
              <w:marLeft w:val="0"/>
              <w:marRight w:val="0"/>
              <w:marTop w:val="0"/>
              <w:marBottom w:val="0"/>
              <w:divBdr>
                <w:top w:val="none" w:sz="0" w:space="0" w:color="auto"/>
                <w:left w:val="none" w:sz="0" w:space="0" w:color="auto"/>
                <w:bottom w:val="none" w:sz="0" w:space="0" w:color="auto"/>
                <w:right w:val="none" w:sz="0" w:space="0" w:color="auto"/>
              </w:divBdr>
            </w:div>
            <w:div w:id="2041540599">
              <w:marLeft w:val="0"/>
              <w:marRight w:val="0"/>
              <w:marTop w:val="0"/>
              <w:marBottom w:val="0"/>
              <w:divBdr>
                <w:top w:val="none" w:sz="0" w:space="0" w:color="auto"/>
                <w:left w:val="none" w:sz="0" w:space="0" w:color="auto"/>
                <w:bottom w:val="none" w:sz="0" w:space="0" w:color="auto"/>
                <w:right w:val="none" w:sz="0" w:space="0" w:color="auto"/>
              </w:divBdr>
            </w:div>
            <w:div w:id="133304128">
              <w:marLeft w:val="0"/>
              <w:marRight w:val="0"/>
              <w:marTop w:val="0"/>
              <w:marBottom w:val="0"/>
              <w:divBdr>
                <w:top w:val="none" w:sz="0" w:space="0" w:color="auto"/>
                <w:left w:val="none" w:sz="0" w:space="0" w:color="auto"/>
                <w:bottom w:val="none" w:sz="0" w:space="0" w:color="auto"/>
                <w:right w:val="none" w:sz="0" w:space="0" w:color="auto"/>
              </w:divBdr>
            </w:div>
          </w:divsChild>
        </w:div>
        <w:div w:id="692927203">
          <w:blockQuote w:val="1"/>
          <w:marLeft w:val="600"/>
          <w:marRight w:val="0"/>
          <w:marTop w:val="0"/>
          <w:marBottom w:val="0"/>
          <w:divBdr>
            <w:top w:val="none" w:sz="0" w:space="0" w:color="auto"/>
            <w:left w:val="none" w:sz="0" w:space="0" w:color="auto"/>
            <w:bottom w:val="none" w:sz="0" w:space="0" w:color="auto"/>
            <w:right w:val="none" w:sz="0" w:space="0" w:color="auto"/>
          </w:divBdr>
          <w:divsChild>
            <w:div w:id="1322584043">
              <w:marLeft w:val="0"/>
              <w:marRight w:val="0"/>
              <w:marTop w:val="0"/>
              <w:marBottom w:val="0"/>
              <w:divBdr>
                <w:top w:val="none" w:sz="0" w:space="0" w:color="auto"/>
                <w:left w:val="none" w:sz="0" w:space="0" w:color="auto"/>
                <w:bottom w:val="none" w:sz="0" w:space="0" w:color="auto"/>
                <w:right w:val="none" w:sz="0" w:space="0" w:color="auto"/>
              </w:divBdr>
            </w:div>
            <w:div w:id="1069036821">
              <w:marLeft w:val="0"/>
              <w:marRight w:val="0"/>
              <w:marTop w:val="0"/>
              <w:marBottom w:val="0"/>
              <w:divBdr>
                <w:top w:val="none" w:sz="0" w:space="0" w:color="auto"/>
                <w:left w:val="none" w:sz="0" w:space="0" w:color="auto"/>
                <w:bottom w:val="none" w:sz="0" w:space="0" w:color="auto"/>
                <w:right w:val="none" w:sz="0" w:space="0" w:color="auto"/>
              </w:divBdr>
            </w:div>
            <w:div w:id="1904170344">
              <w:marLeft w:val="0"/>
              <w:marRight w:val="0"/>
              <w:marTop w:val="0"/>
              <w:marBottom w:val="0"/>
              <w:divBdr>
                <w:top w:val="none" w:sz="0" w:space="0" w:color="auto"/>
                <w:left w:val="none" w:sz="0" w:space="0" w:color="auto"/>
                <w:bottom w:val="none" w:sz="0" w:space="0" w:color="auto"/>
                <w:right w:val="none" w:sz="0" w:space="0" w:color="auto"/>
              </w:divBdr>
            </w:div>
          </w:divsChild>
        </w:div>
        <w:div w:id="1324353026">
          <w:blockQuote w:val="1"/>
          <w:marLeft w:val="600"/>
          <w:marRight w:val="0"/>
          <w:marTop w:val="0"/>
          <w:marBottom w:val="0"/>
          <w:divBdr>
            <w:top w:val="none" w:sz="0" w:space="0" w:color="auto"/>
            <w:left w:val="none" w:sz="0" w:space="0" w:color="auto"/>
            <w:bottom w:val="none" w:sz="0" w:space="0" w:color="auto"/>
            <w:right w:val="none" w:sz="0" w:space="0" w:color="auto"/>
          </w:divBdr>
          <w:divsChild>
            <w:div w:id="514225441">
              <w:blockQuote w:val="1"/>
              <w:marLeft w:val="600"/>
              <w:marRight w:val="0"/>
              <w:marTop w:val="0"/>
              <w:marBottom w:val="0"/>
              <w:divBdr>
                <w:top w:val="none" w:sz="0" w:space="0" w:color="auto"/>
                <w:left w:val="none" w:sz="0" w:space="0" w:color="auto"/>
                <w:bottom w:val="none" w:sz="0" w:space="0" w:color="auto"/>
                <w:right w:val="none" w:sz="0" w:space="0" w:color="auto"/>
              </w:divBdr>
              <w:divsChild>
                <w:div w:id="917327211">
                  <w:marLeft w:val="0"/>
                  <w:marRight w:val="0"/>
                  <w:marTop w:val="0"/>
                  <w:marBottom w:val="0"/>
                  <w:divBdr>
                    <w:top w:val="none" w:sz="0" w:space="0" w:color="auto"/>
                    <w:left w:val="none" w:sz="0" w:space="0" w:color="auto"/>
                    <w:bottom w:val="none" w:sz="0" w:space="0" w:color="auto"/>
                    <w:right w:val="none" w:sz="0" w:space="0" w:color="auto"/>
                  </w:divBdr>
                </w:div>
              </w:divsChild>
            </w:div>
            <w:div w:id="1360469296">
              <w:blockQuote w:val="1"/>
              <w:marLeft w:val="600"/>
              <w:marRight w:val="0"/>
              <w:marTop w:val="0"/>
              <w:marBottom w:val="0"/>
              <w:divBdr>
                <w:top w:val="none" w:sz="0" w:space="0" w:color="auto"/>
                <w:left w:val="none" w:sz="0" w:space="0" w:color="auto"/>
                <w:bottom w:val="none" w:sz="0" w:space="0" w:color="auto"/>
                <w:right w:val="none" w:sz="0" w:space="0" w:color="auto"/>
              </w:divBdr>
              <w:divsChild>
                <w:div w:id="771780654">
                  <w:marLeft w:val="0"/>
                  <w:marRight w:val="0"/>
                  <w:marTop w:val="0"/>
                  <w:marBottom w:val="0"/>
                  <w:divBdr>
                    <w:top w:val="none" w:sz="0" w:space="0" w:color="auto"/>
                    <w:left w:val="none" w:sz="0" w:space="0" w:color="auto"/>
                    <w:bottom w:val="none" w:sz="0" w:space="0" w:color="auto"/>
                    <w:right w:val="none" w:sz="0" w:space="0" w:color="auto"/>
                  </w:divBdr>
                </w:div>
              </w:divsChild>
            </w:div>
            <w:div w:id="1142578882">
              <w:blockQuote w:val="1"/>
              <w:marLeft w:val="600"/>
              <w:marRight w:val="0"/>
              <w:marTop w:val="0"/>
              <w:marBottom w:val="0"/>
              <w:divBdr>
                <w:top w:val="none" w:sz="0" w:space="0" w:color="auto"/>
                <w:left w:val="none" w:sz="0" w:space="0" w:color="auto"/>
                <w:bottom w:val="none" w:sz="0" w:space="0" w:color="auto"/>
                <w:right w:val="none" w:sz="0" w:space="0" w:color="auto"/>
              </w:divBdr>
              <w:divsChild>
                <w:div w:id="12611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John+18.20&amp;t=NKJV" TargetMode="External"/><Relationship Id="rId13" Type="http://schemas.openxmlformats.org/officeDocument/2006/relationships/hyperlink" Target="https://www.blueletterbible.org/search/preSearch.cfm?Criteria=Matthew+24.45&amp;t=NKJV" TargetMode="External"/><Relationship Id="rId18" Type="http://schemas.openxmlformats.org/officeDocument/2006/relationships/hyperlink" Target="https://www.blueletterbible.org/search/preSearch.cfm?Criteria=I+Thessalonians+1.5&amp;t=NKJV" TargetMode="External"/><Relationship Id="rId26" Type="http://schemas.openxmlformats.org/officeDocument/2006/relationships/hyperlink" Target="https://www.blueletterbible.org/search/preSearch.cfm?Criteria=Luke+16.10-12&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II+Timothy+2.8&amp;t=NKJV" TargetMode="External"/><Relationship Id="rId34" Type="http://schemas.openxmlformats.org/officeDocument/2006/relationships/theme" Target="theme/theme1.xml"/><Relationship Id="rId7" Type="http://schemas.openxmlformats.org/officeDocument/2006/relationships/hyperlink" Target="https://www.blueletterbible.org/search/preSearch.cfm?Criteria=Hebrews+4.13&amp;t=NKJV" TargetMode="External"/><Relationship Id="rId12" Type="http://schemas.openxmlformats.org/officeDocument/2006/relationships/hyperlink" Target="https://www.blueletterbible.org/search/preSearch.cfm?Criteria=Romans+2.16&amp;t=NKJV" TargetMode="External"/><Relationship Id="rId17" Type="http://schemas.openxmlformats.org/officeDocument/2006/relationships/hyperlink" Target="https://www.blueletterbible.org/search/preSearch.cfm?Criteria=Ephesians+3.1-6&amp;t=NKJV" TargetMode="External"/><Relationship Id="rId25" Type="http://schemas.openxmlformats.org/officeDocument/2006/relationships/hyperlink" Target="https://www.blueletterbible.org/search/preSearch.cfm?Criteria=Matthew+25.29&amp;t=NKJV"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search/preSearch.cfm?Criteria=Galatians+1.11-12&amp;t=NKJV" TargetMode="External"/><Relationship Id="rId20" Type="http://schemas.openxmlformats.org/officeDocument/2006/relationships/hyperlink" Target="https://www.blueletterbible.org/search/preSearch.cfm?Criteria=I+Timothy+1.11&amp;t=NKJV" TargetMode="External"/><Relationship Id="rId29" Type="http://schemas.openxmlformats.org/officeDocument/2006/relationships/hyperlink" Target="https://www.blueletterbible.org/search/preSearch.cfm?Criteria=Matthew+25.27&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Luke+19.20&amp;t=NKJV" TargetMode="External"/><Relationship Id="rId11" Type="http://schemas.openxmlformats.org/officeDocument/2006/relationships/hyperlink" Target="https://www.blueletterbible.org/search/preSearch.cfm?Criteria=Romans+2.16&amp;t=NKJV" TargetMode="External"/><Relationship Id="rId24" Type="http://schemas.openxmlformats.org/officeDocument/2006/relationships/hyperlink" Target="https://www.blueletterbible.org/search/preSearch.cfm?Criteria=Luke+19.21-23&amp;t=NKJV" TargetMode="External"/><Relationship Id="rId32" Type="http://schemas.openxmlformats.org/officeDocument/2006/relationships/hyperlink" Target="https://www.blueletterbible.org/search/preSearch.cfm?Criteria=Luke+19.24-26&amp;t=NKJV" TargetMode="External"/><Relationship Id="rId5" Type="http://schemas.openxmlformats.org/officeDocument/2006/relationships/hyperlink" Target="https://www.blueletterbible.org/search/preSearch.cfm?Criteria=Matthew+25.25&amp;t=NKJV" TargetMode="External"/><Relationship Id="rId15" Type="http://schemas.openxmlformats.org/officeDocument/2006/relationships/hyperlink" Target="https://www.blueletterbible.org/search/preSearch.cfm?Criteria=II+Corinthians+4.3-4&amp;t=NKJV" TargetMode="External"/><Relationship Id="rId23" Type="http://schemas.openxmlformats.org/officeDocument/2006/relationships/hyperlink" Target="https://www.blueletterbible.org/search/preSearch.cfm?Criteria=Matthew+25.24-27&amp;t=NKJV" TargetMode="External"/><Relationship Id="rId28" Type="http://schemas.openxmlformats.org/officeDocument/2006/relationships/hyperlink" Target="https://www.blueletterbible.org/search/preSearch.cfm?Criteria=II+Peter+1.16&amp;t=NKJV" TargetMode="External"/><Relationship Id="rId10" Type="http://schemas.openxmlformats.org/officeDocument/2006/relationships/hyperlink" Target="https://www.blueletterbible.org/search/preSearch.cfm?Criteria=Luke+8.17&amp;t=NKJV" TargetMode="External"/><Relationship Id="rId19" Type="http://schemas.openxmlformats.org/officeDocument/2006/relationships/hyperlink" Target="https://www.blueletterbible.org/search/preSearch.cfm?Criteria=II+Thessalonians+2.14&amp;t=NKJV" TargetMode="External"/><Relationship Id="rId31" Type="http://schemas.openxmlformats.org/officeDocument/2006/relationships/hyperlink" Target="https://www.blueletterbible.org/search/preSearch.cfm?Criteria=Matthew+25.28-29&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Mark+4.22&amp;t=NKJV" TargetMode="External"/><Relationship Id="rId14" Type="http://schemas.openxmlformats.org/officeDocument/2006/relationships/hyperlink" Target="https://www.blueletterbible.org/search/preSearch.cfm?Criteria=Romans+16.25&amp;t=NKJV" TargetMode="External"/><Relationship Id="rId22" Type="http://schemas.openxmlformats.org/officeDocument/2006/relationships/hyperlink" Target="https://www.blueletterbible.org/search/preSearch.cfm?Criteria=II+Timothy+2.8&amp;t=NKJV" TargetMode="External"/><Relationship Id="rId27" Type="http://schemas.openxmlformats.org/officeDocument/2006/relationships/hyperlink" Target="https://www.blueletterbible.org/search/preSearch.cfm?Criteria=Luke+19.26&amp;t=NKJV" TargetMode="External"/><Relationship Id="rId30" Type="http://schemas.openxmlformats.org/officeDocument/2006/relationships/hyperlink" Target="https://www.blueletterbible.org/search/preSearch.cfm?Criteria=Luke+19.2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2020-09-29T22:57:00Z</dcterms:created>
  <dcterms:modified xsi:type="dcterms:W3CDTF">2020-09-29T23:00:00Z</dcterms:modified>
</cp:coreProperties>
</file>