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E7" w:rsidRPr="00107FE7" w:rsidRDefault="00107FE7" w:rsidP="00107FE7">
      <w:pPr>
        <w:shd w:val="clear" w:color="auto" w:fill="FFFFFF"/>
        <w:rPr>
          <w:rFonts w:eastAsia="Times New Roman"/>
          <w:sz w:val="18"/>
          <w:szCs w:val="18"/>
        </w:rPr>
      </w:pPr>
      <w:r w:rsidRPr="00107FE7">
        <w:rPr>
          <w:rFonts w:ascii="Arial Black" w:eastAsia="Times New Roman" w:hAnsi="Arial Black"/>
          <w:sz w:val="36"/>
          <w:szCs w:val="36"/>
        </w:rPr>
        <w:t>A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07FE7">
        <w:rPr>
          <w:rFonts w:ascii="Arial Black" w:eastAsia="Times New Roman" w:hAnsi="Arial Black"/>
          <w:sz w:val="36"/>
          <w:szCs w:val="36"/>
        </w:rPr>
        <w:t>Proclamation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07FE7">
        <w:rPr>
          <w:rFonts w:ascii="Arial Black" w:eastAsia="Times New Roman" w:hAnsi="Arial Black"/>
          <w:sz w:val="36"/>
          <w:szCs w:val="36"/>
        </w:rPr>
        <w:t>to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07FE7">
        <w:rPr>
          <w:rFonts w:ascii="Arial Black" w:eastAsia="Times New Roman" w:hAnsi="Arial Black"/>
          <w:sz w:val="36"/>
          <w:szCs w:val="36"/>
        </w:rPr>
        <w:t>Imprisoned</w:t>
      </w:r>
      <w:r>
        <w:rPr>
          <w:rFonts w:ascii="Arial Black" w:eastAsia="Times New Roman" w:hAnsi="Arial Black"/>
          <w:sz w:val="36"/>
          <w:szCs w:val="36"/>
        </w:rPr>
        <w:t xml:space="preserve"> </w:t>
      </w:r>
      <w:r w:rsidRPr="00107FE7">
        <w:rPr>
          <w:rFonts w:ascii="Arial Black" w:eastAsia="Times New Roman" w:hAnsi="Arial Black"/>
          <w:sz w:val="36"/>
          <w:szCs w:val="36"/>
        </w:rPr>
        <w:t>Spirits</w:t>
      </w:r>
    </w:p>
    <w:p w:rsidR="00107FE7" w:rsidRPr="00107FE7" w:rsidRDefault="00107FE7" w:rsidP="00107FE7">
      <w:pPr>
        <w:shd w:val="clear" w:color="auto" w:fill="FFFFFF"/>
        <w:rPr>
          <w:rFonts w:eastAsia="Times New Roman"/>
          <w:sz w:val="18"/>
          <w:szCs w:val="18"/>
        </w:rPr>
      </w:pP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Recipients,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Content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Message</w:t>
      </w:r>
    </w:p>
    <w:p w:rsidR="00107FE7" w:rsidRDefault="00107FE7" w:rsidP="00107FE7">
      <w:pPr>
        <w:shd w:val="clear" w:color="auto" w:fill="FFFFFF"/>
        <w:rPr>
          <w:rFonts w:eastAsia="Times New Roman"/>
          <w:sz w:val="18"/>
          <w:szCs w:val="18"/>
        </w:rPr>
      </w:pPr>
      <w:r w:rsidRPr="00107FE7">
        <w:rPr>
          <w:rFonts w:eastAsia="Times New Roman"/>
          <w:b/>
          <w:bCs/>
        </w:rPr>
        <w:t>By</w:t>
      </w:r>
      <w:r>
        <w:rPr>
          <w:rFonts w:eastAsia="Times New Roman"/>
          <w:b/>
          <w:bCs/>
        </w:rPr>
        <w:t xml:space="preserve"> </w:t>
      </w:r>
      <w:r w:rsidRPr="00107FE7">
        <w:rPr>
          <w:rFonts w:eastAsia="Times New Roman"/>
          <w:b/>
          <w:bCs/>
        </w:rPr>
        <w:t>Arlen</w:t>
      </w:r>
      <w:r>
        <w:rPr>
          <w:rFonts w:eastAsia="Times New Roman"/>
          <w:b/>
          <w:bCs/>
        </w:rPr>
        <w:t xml:space="preserve"> </w:t>
      </w:r>
      <w:r w:rsidRPr="00107FE7">
        <w:rPr>
          <w:rFonts w:eastAsia="Times New Roman"/>
          <w:b/>
          <w:bCs/>
        </w:rPr>
        <w:t>Chitwood</w:t>
      </w:r>
      <w:r>
        <w:rPr>
          <w:rFonts w:eastAsia="Times New Roman"/>
          <w:b/>
          <w:bCs/>
        </w:rPr>
        <w:t xml:space="preserve"> </w:t>
      </w:r>
      <w:r w:rsidRPr="00107FE7">
        <w:rPr>
          <w:rFonts w:eastAsia="Times New Roman"/>
          <w:b/>
          <w:bCs/>
        </w:rPr>
        <w:t>of</w:t>
      </w:r>
      <w:r>
        <w:rPr>
          <w:rFonts w:eastAsia="Times New Roman"/>
        </w:rPr>
        <w:t xml:space="preserve"> </w:t>
      </w:r>
      <w:hyperlink r:id="rId4" w:history="1">
        <w:r w:rsidRPr="00107FE7">
          <w:rPr>
            <w:rFonts w:ascii="Arial Black" w:eastAsia="Times New Roman" w:hAnsi="Arial Black"/>
            <w:color w:val="2F5496"/>
            <w:u w:val="single"/>
          </w:rPr>
          <w:t>Lamp</w:t>
        </w:r>
        <w:r>
          <w:rPr>
            <w:rFonts w:ascii="Arial Black" w:eastAsia="Times New Roman" w:hAnsi="Arial Black"/>
            <w:color w:val="2F5496"/>
            <w:u w:val="single"/>
          </w:rPr>
          <w:t xml:space="preserve"> </w:t>
        </w:r>
        <w:r w:rsidRPr="00107FE7">
          <w:rPr>
            <w:rFonts w:ascii="Arial Black" w:eastAsia="Times New Roman" w:hAnsi="Arial Black"/>
            <w:color w:val="2F5496"/>
            <w:u w:val="single"/>
          </w:rPr>
          <w:t>Broadcast</w:t>
        </w:r>
      </w:hyperlink>
    </w:p>
    <w:p w:rsidR="00107FE7" w:rsidRPr="00107FE7" w:rsidRDefault="00107FE7" w:rsidP="00107FE7">
      <w:pPr>
        <w:shd w:val="clear" w:color="auto" w:fill="FFFFFF"/>
        <w:rPr>
          <w:rFonts w:eastAsia="Times New Roman"/>
          <w:b/>
          <w:color w:val="2F5496" w:themeColor="accent5" w:themeShade="BF"/>
          <w:sz w:val="18"/>
          <w:szCs w:val="18"/>
        </w:rPr>
      </w:pPr>
      <w:r w:rsidRPr="00107FE7">
        <w:rPr>
          <w:rFonts w:eastAsia="Times New Roman"/>
          <w:b/>
          <w:color w:val="2F5496" w:themeColor="accent5" w:themeShade="BF"/>
          <w:sz w:val="18"/>
          <w:szCs w:val="18"/>
        </w:rPr>
        <w:t>~~~~~~~~~~~~~~~~~~~~~~~~~~~~~~~~~~~~~~~~~~~~~~~~~~~~~~~~~~~~~~~~~~~~~~~~~~~~~~~~~~~~~~~~~~~~~~~~~~</w:t>
      </w: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  <w:i/>
          <w:iCs/>
        </w:rPr>
        <w:t>“Because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suffered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sins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once,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righteous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unrighteous,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might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bring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God;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being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death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flesh,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made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alive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Spirit;</w:t>
      </w: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bookmarkStart w:id="0" w:name="_GoBack"/>
      <w:bookmarkEnd w:id="0"/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preached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proclamation]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prison,</w:t>
      </w: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aforetime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disobedient,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when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longsuffering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God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waited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days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Noah,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while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ark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was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preparing,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wherein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few,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eight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souls,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were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saved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through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water”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hyperlink r:id="rId5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3:18-20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ASV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“spirits”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said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“disobedient”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Flood.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appeared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presence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imprisonment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time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purpose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proofErr w:type="gramStart"/>
      <w:r w:rsidRPr="00107FE7">
        <w:rPr>
          <w:rFonts w:eastAsia="Times New Roman"/>
        </w:rPr>
        <w:t>around</w:t>
      </w:r>
      <w:proofErr w:type="gramEnd"/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reason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previous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actions,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interpreted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mind.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NEVER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prison;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race,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living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ever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“spirits.”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HAS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himself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NEVER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Scripture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speaks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just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men”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hyperlink r:id="rId6" w:history="1">
        <w:r w:rsidRPr="00107FE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12:23</w:t>
        </w:r>
      </w:hyperlink>
      <w:r w:rsidRPr="00107FE7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resurrection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quickening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(referring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position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Life-Giver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spiritual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hyperlink r:id="rId7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Corinthians.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15:44-45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flesh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bones,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placed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tomb,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life-giving,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animating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body]).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descendants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sense,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received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such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bodies,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exception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Enoch,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Moses,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Elijah.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Among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God’s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created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beings,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called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“spirits”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God: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</w:rPr>
        <w:t>“</w:t>
      </w:r>
      <w:r w:rsidRPr="00107FE7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maketh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proofErr w:type="gramStart"/>
      <w:r w:rsidRPr="00107FE7">
        <w:rPr>
          <w:rFonts w:eastAsia="Times New Roman"/>
          <w:i/>
          <w:iCs/>
        </w:rPr>
        <w:t>angels</w:t>
      </w:r>
      <w:proofErr w:type="gram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ministers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flame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fire.</w:t>
      </w: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[angels]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ministering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spirits,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forth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minister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them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shall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heirs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salvation?</w:t>
      </w:r>
      <w:r w:rsidRPr="00107FE7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hyperlink r:id="rId8" w:history="1">
        <w:r w:rsidRPr="00107FE7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1:7b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9" w:history="1">
        <w:r w:rsidRPr="00107FE7">
          <w:rPr>
            <w:rFonts w:eastAsia="Times New Roman"/>
            <w:color w:val="0062B5"/>
            <w:u w:val="single"/>
          </w:rPr>
          <w:t>14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“spirits”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0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identified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left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positions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power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heavens,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taken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upon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themselves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cohabited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women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Flood.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 w:rsidRPr="00107FE7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according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hyperlink r:id="rId11" w:history="1">
        <w:r w:rsidRPr="00107FE7">
          <w:rPr>
            <w:rFonts w:eastAsia="Times New Roman"/>
            <w:color w:val="0062B5"/>
            <w:u w:val="single"/>
          </w:rPr>
          <w:t>II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2:4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hyperlink r:id="rId12" w:history="1">
        <w:r w:rsidRPr="00107FE7">
          <w:rPr>
            <w:rFonts w:eastAsia="Times New Roman"/>
            <w:color w:val="0062B5"/>
            <w:u w:val="single"/>
          </w:rPr>
          <w:t>Jude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1:6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are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confined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chained,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awaiting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judgment.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lastRenderedPageBreak/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“preach”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3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kerusso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means,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announcement.”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itself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gives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indication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type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content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message.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things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determined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context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Scripture.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proofErr w:type="spellStart"/>
      <w:r w:rsidRPr="00107FE7">
        <w:rPr>
          <w:rFonts w:eastAsia="Times New Roman"/>
          <w:i/>
          <w:iCs/>
        </w:rPr>
        <w:t>Kerusso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appears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numerous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throughout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Testament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almost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always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proclaiming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some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facet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message.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passages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though,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euaggelion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(“gospel,”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“good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news”)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qualifying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appear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kerusso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make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connection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r w:rsidRPr="00107FE7">
        <w:rPr>
          <w:rFonts w:eastAsia="Times New Roman"/>
          <w:i/>
          <w:iCs/>
        </w:rPr>
        <w:t>e.g.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4" w:history="1">
        <w:r w:rsidRPr="00107FE7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4:23</w:t>
        </w:r>
      </w:hyperlink>
      <w:r w:rsidRPr="00107FE7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15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1:23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NOTHING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6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3:18-20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even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remotely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connect</w:t>
      </w:r>
      <w:r>
        <w:rPr>
          <w:rFonts w:eastAsia="Times New Roman"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kerusso</w:t>
      </w:r>
      <w:proofErr w:type="spellEnd"/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message.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gospel.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message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passage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directed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[angels],”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gospel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descendants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Adam,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angels.</w:t>
      </w:r>
      <w:r>
        <w:rPr>
          <w:rFonts w:eastAsia="Times New Roman"/>
          <w:i/>
          <w:iCs/>
        </w:rPr>
        <w:t xml:space="preserve"> </w:t>
      </w:r>
      <w:proofErr w:type="spellStart"/>
      <w:r w:rsidRPr="00107FE7">
        <w:rPr>
          <w:rFonts w:eastAsia="Times New Roman"/>
          <w:i/>
          <w:iCs/>
        </w:rPr>
        <w:t>Kerusso</w:t>
      </w:r>
      <w:proofErr w:type="spellEnd"/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7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sense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18" w:history="1">
        <w:r w:rsidRPr="00107FE7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5:2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concerning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something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OTHER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than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gospel.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occur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infer,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between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Hades</w:t>
      </w:r>
      <w:r w:rsidRPr="00107FE7">
        <w:rPr>
          <w:rFonts w:eastAsia="Times New Roman"/>
        </w:rPr>
        <w:t>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  <w:i/>
          <w:iCs/>
        </w:rPr>
        <w:t>NOR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others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infer,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did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anything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strange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interpretation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termed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preaching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[by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Holy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Spirit]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Noah”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during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days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Flood.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hyperlink r:id="rId19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3:18-19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CLEARLY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reveals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delivered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proclamation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Himself,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following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resurrection</w:t>
      </w:r>
      <w:r w:rsidRPr="00107FE7">
        <w:rPr>
          <w:rFonts w:eastAsia="Times New Roman"/>
        </w:rPr>
        <w:t>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text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respect: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0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“put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made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death,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“soulical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</w:t>
      </w:r>
      <w:r w:rsidRPr="00107FE7">
        <w:rPr>
          <w:rFonts w:eastAsia="Times New Roman"/>
          <w:i/>
          <w:iCs/>
        </w:rPr>
        <w:t>psuchikos</w:t>
      </w:r>
      <w:r w:rsidRPr="00107FE7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flesh,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blood,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bones.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life-giving,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animating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blood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hyperlink r:id="rId21" w:history="1">
        <w:r w:rsidRPr="00107FE7">
          <w:rPr>
            <w:rFonts w:eastAsia="Times New Roman"/>
            <w:color w:val="0062B5"/>
            <w:u w:val="single"/>
          </w:rPr>
          <w:t>Leviticus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17:11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  <w:i/>
          <w:iCs/>
        </w:rPr>
        <w:t>BUT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“spiritual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</w:t>
      </w:r>
      <w:proofErr w:type="spellStart"/>
      <w:r w:rsidRPr="00107FE7">
        <w:rPr>
          <w:rFonts w:eastAsia="Times New Roman"/>
          <w:i/>
          <w:iCs/>
        </w:rPr>
        <w:t>pneumatikos</w:t>
      </w:r>
      <w:proofErr w:type="spellEnd"/>
      <w:r w:rsidRPr="00107FE7">
        <w:rPr>
          <w:rFonts w:eastAsia="Times New Roman"/>
        </w:rPr>
        <w:t>]”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flesh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bones,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without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blood.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life-giving,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animating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principle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before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death.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“soulical”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“spiritual,”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respect,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have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life-giving,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animating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principle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itself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r w:rsidRPr="00107FE7">
        <w:rPr>
          <w:rFonts w:eastAsia="Times New Roman"/>
          <w:i/>
          <w:iCs/>
        </w:rPr>
        <w:t>cf</w:t>
      </w:r>
      <w:r w:rsidRPr="00107FE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2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15:44-50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thought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3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continued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4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statement: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FF71C9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</w:rPr>
        <w:t>“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also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preached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proclamation]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unto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spirits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prison</w:t>
      </w:r>
      <w:r w:rsidRPr="00107FE7">
        <w:rPr>
          <w:rFonts w:eastAsia="Times New Roman"/>
        </w:rPr>
        <w:t>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eighteen,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death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soulical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raised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spiritual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verse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nineteen,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directly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responsible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judgment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Flood.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“which”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hyperlink r:id="rId25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 w:rsidRPr="00107FE7">
        <w:rPr>
          <w:rFonts w:eastAsia="Times New Roman"/>
        </w:rPr>
        <w:t>)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translation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pronoun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</w:t>
      </w:r>
      <w:r w:rsidRPr="00107FE7">
        <w:rPr>
          <w:rFonts w:eastAsia="Times New Roman"/>
          <w:i/>
          <w:iCs/>
        </w:rPr>
        <w:t>ho</w:t>
      </w:r>
      <w:r w:rsidRPr="00107FE7">
        <w:rPr>
          <w:rFonts w:eastAsia="Times New Roman"/>
        </w:rPr>
        <w:t>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rule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grammar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states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pronoun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MUST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agree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gender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number.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</w:t>
      </w:r>
      <w:r w:rsidRPr="00107FE7">
        <w:rPr>
          <w:rFonts w:eastAsia="Times New Roman"/>
          <w:i/>
          <w:iCs/>
        </w:rPr>
        <w:t>Ho</w:t>
      </w:r>
      <w:r w:rsidRPr="00107FE7">
        <w:rPr>
          <w:rFonts w:eastAsia="Times New Roman"/>
        </w:rPr>
        <w:t>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singular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either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masculine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neuter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(both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instance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but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feminine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different).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6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English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seemingly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allow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two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possible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considered: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“flesh,”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However,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Greek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text,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“flesh”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feminine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hand,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neuter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word.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Consequently,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“which”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neuter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pronoun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agreeing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neuter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mind,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note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view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insofar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manner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concerned.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27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3:18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“made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Spirit.”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Jesus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possessed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animated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capable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actions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which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CANNOT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accomplished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natural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</w:t>
      </w:r>
      <w:r w:rsidRPr="00107FE7">
        <w:rPr>
          <w:rFonts w:eastAsia="Times New Roman"/>
          <w:i/>
          <w:iCs/>
        </w:rPr>
        <w:t>cf</w:t>
      </w:r>
      <w:r w:rsidRPr="00107FE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28" w:history="1">
        <w:r w:rsidRPr="00107FE7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24:36-51</w:t>
        </w:r>
      </w:hyperlink>
      <w:r w:rsidRPr="00107FE7">
        <w:rPr>
          <w:rFonts w:eastAsia="Times New Roman"/>
        </w:rPr>
        <w:t>;</w:t>
      </w:r>
      <w:r>
        <w:rPr>
          <w:rFonts w:eastAsia="Times New Roman"/>
        </w:rPr>
        <w:t xml:space="preserve"> </w:t>
      </w:r>
      <w:hyperlink r:id="rId29" w:history="1">
        <w:r w:rsidRPr="00107FE7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1:9-11</w:t>
        </w:r>
      </w:hyperlink>
      <w:r w:rsidRPr="00107FE7">
        <w:rPr>
          <w:rFonts w:eastAsia="Times New Roman"/>
        </w:rPr>
        <w:t>).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hyperlink r:id="rId30" w:history="1">
        <w:r w:rsidRPr="00107FE7">
          <w:rPr>
            <w:rFonts w:eastAsia="Times New Roman"/>
            <w:color w:val="0062B5"/>
            <w:u w:val="single"/>
          </w:rPr>
          <w:t>I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3:19</w:t>
        </w:r>
      </w:hyperlink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states,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preached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proclamation]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prison.”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relative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pronoun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“which,”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antecedent,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“Spirit,”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can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body.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Jesus,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specific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making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particular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group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imprisoned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angels.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Tartarus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sought,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under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completely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corrupt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lineages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ALL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families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earth,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evidently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attempting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prevent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appearance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Seed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woman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hyperlink r:id="rId31" w:history="1">
        <w:r w:rsidRPr="00107FE7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3:15</w:t>
        </w:r>
      </w:hyperlink>
      <w:r w:rsidRPr="00107FE7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NOW,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second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Man,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last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Adam,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presence.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did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stand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presence,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stood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there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in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resurrection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body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with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work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redemption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completed.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met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wilderness,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showing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fully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qualified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redeem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fall,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kingdom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forfeited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time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well.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paid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redemption’s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Golgotha,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Own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blood.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redemption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accomplished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(having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descended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through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Noah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three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sons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[an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uncorrupted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lineage])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ultimately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realize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purpose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creation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beginning.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(To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see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full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extent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how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affected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demonic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whether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presently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chained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those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ruling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over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nations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Satan,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refer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author’s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article,</w:t>
      </w:r>
      <w:r>
        <w:rPr>
          <w:rFonts w:eastAsia="Times New Roman"/>
        </w:rPr>
        <w:t xml:space="preserve"> </w:t>
      </w:r>
      <w:hyperlink r:id="rId32" w:anchor="The%20Preaching%20of%20the%20Cross" w:history="1">
        <w:r w:rsidRPr="00107FE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Preaching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107FE7">
          <w:rPr>
            <w:rFonts w:eastAsia="Times New Roman"/>
            <w:color w:val="0062B5"/>
            <w:u w:val="single"/>
          </w:rPr>
          <w:t>Cross</w:t>
        </w:r>
      </w:hyperlink>
      <w:r w:rsidRPr="00107FE7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site.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Calvary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unsaved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also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saved.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well,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finished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work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forms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complete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demonic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world,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part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parcel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announcement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spirits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prison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following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resurrection.)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proclamation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which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delivered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imprisoned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have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center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around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fact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had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preceding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Flood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for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naught.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uncorrupted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human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existed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race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uncorrupted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by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what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these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attempted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—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stood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their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presence.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NOT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resurrected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Christ,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second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Man,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last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day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take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kingdom,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BUT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great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host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individuals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redeemed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from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lineage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of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First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Adam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would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co-heirs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Him.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in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Tartarus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forward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thing: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remaining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chained,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consignment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lake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fire</w:t>
      </w:r>
      <w:r w:rsidRPr="00107FE7">
        <w:rPr>
          <w:rFonts w:eastAsia="Times New Roman"/>
        </w:rPr>
        <w:t>.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  <w:r w:rsidRPr="00107FE7">
        <w:rPr>
          <w:rFonts w:eastAsia="Times New Roman"/>
        </w:rPr>
        <w:t>Satan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the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angels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continuing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reign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with</w:t>
      </w:r>
      <w:r>
        <w:rPr>
          <w:rFonts w:eastAsia="Times New Roman"/>
        </w:rPr>
        <w:t xml:space="preserve"> </w:t>
      </w:r>
      <w:r w:rsidRPr="00107FE7">
        <w:rPr>
          <w:rFonts w:eastAsia="Times New Roman"/>
        </w:rPr>
        <w:t>him</w:t>
      </w:r>
      <w:r>
        <w:rPr>
          <w:rFonts w:eastAsia="Times New Roman"/>
        </w:rPr>
        <w:t xml:space="preserve"> </w:t>
      </w:r>
      <w:r w:rsidRPr="00107FE7">
        <w:rPr>
          <w:rFonts w:eastAsia="Times New Roman"/>
          <w:i/>
          <w:iCs/>
        </w:rPr>
        <w:t>could,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likewise,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NOW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forward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thing</w:t>
      </w:r>
      <w:r w:rsidRPr="00107FE7">
        <w:rPr>
          <w:rFonts w:eastAsia="Times New Roman"/>
        </w:rPr>
        <w:t>:</w:t>
      </w:r>
    </w:p>
    <w:p w:rsidR="00107FE7" w:rsidRPr="00107FE7" w:rsidRDefault="00107FE7" w:rsidP="00107FE7">
      <w:pPr>
        <w:shd w:val="clear" w:color="auto" w:fill="FFFFFF"/>
        <w:rPr>
          <w:rFonts w:eastAsia="Times New Roman"/>
        </w:rPr>
      </w:pPr>
    </w:p>
    <w:p w:rsidR="00107FE7" w:rsidRPr="00107FE7" w:rsidRDefault="00107FE7" w:rsidP="00107FE7">
      <w:pPr>
        <w:shd w:val="clear" w:color="auto" w:fill="FFFFFF"/>
        <w:ind w:left="720"/>
        <w:rPr>
          <w:rFonts w:eastAsia="Times New Roman"/>
        </w:rPr>
      </w:pPr>
      <w:r w:rsidRPr="00107FE7">
        <w:rPr>
          <w:rFonts w:eastAsia="Times New Roman"/>
          <w:i/>
          <w:iCs/>
        </w:rPr>
        <w:t>They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could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ONLY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look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forward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biding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time,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awaiting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that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day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Christ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takes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kingdom,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followed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ultimately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by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their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consignment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to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lake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fire,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“prepared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for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devil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his</w:t>
      </w:r>
      <w:r>
        <w:rPr>
          <w:rFonts w:eastAsia="Times New Roman"/>
          <w:i/>
          <w:iCs/>
        </w:rPr>
        <w:t xml:space="preserve"> </w:t>
      </w:r>
      <w:r w:rsidRPr="00107FE7">
        <w:rPr>
          <w:rFonts w:eastAsia="Times New Roman"/>
          <w:i/>
          <w:iCs/>
        </w:rPr>
        <w:t>angels.”</w:t>
      </w:r>
    </w:p>
    <w:sectPr w:rsidR="00107FE7" w:rsidRPr="00107FE7" w:rsidSect="005B64C0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C0"/>
    <w:rsid w:val="000C606A"/>
    <w:rsid w:val="000D4801"/>
    <w:rsid w:val="00107FE7"/>
    <w:rsid w:val="004913E4"/>
    <w:rsid w:val="005B64C0"/>
    <w:rsid w:val="007009D9"/>
    <w:rsid w:val="00771B8E"/>
    <w:rsid w:val="00774C51"/>
    <w:rsid w:val="00A2540D"/>
    <w:rsid w:val="00A7339E"/>
    <w:rsid w:val="00A95482"/>
    <w:rsid w:val="00B2469D"/>
    <w:rsid w:val="00B51BB6"/>
    <w:rsid w:val="00BB0548"/>
    <w:rsid w:val="00D54748"/>
    <w:rsid w:val="00E327F7"/>
    <w:rsid w:val="00F7324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13F39-51A4-4F39-882D-1737C1E9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9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4977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49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41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63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303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3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78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6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1.7b&amp;t=NKJV" TargetMode="External"/><Relationship Id="rId13" Type="http://schemas.openxmlformats.org/officeDocument/2006/relationships/hyperlink" Target="https://www.blueletterbible.org/search/preSearch.cfm?Criteria=I+Peter+3.19&amp;t=NKJV" TargetMode="External"/><Relationship Id="rId18" Type="http://schemas.openxmlformats.org/officeDocument/2006/relationships/hyperlink" Target="https://www.blueletterbible.org/search/preSearch.cfm?Criteria=Revelation+5.2&amp;t=NKJV" TargetMode="External"/><Relationship Id="rId26" Type="http://schemas.openxmlformats.org/officeDocument/2006/relationships/hyperlink" Target="https://www.blueletterbible.org/search/preSearch.cfm?Criteria=I+Peter+3.18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Leviticus+17.11&amp;t=NKJV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lueletterbible.org/search/preSearch.cfm?Criteria=I+Corinthians.+15.44-45&amp;t=NKJV" TargetMode="External"/><Relationship Id="rId12" Type="http://schemas.openxmlformats.org/officeDocument/2006/relationships/hyperlink" Target="https://www.blueletterbible.org/search/preSearch.cfm?Criteria=Jude+1.6&amp;t=NKJV" TargetMode="External"/><Relationship Id="rId17" Type="http://schemas.openxmlformats.org/officeDocument/2006/relationships/hyperlink" Target="https://www.blueletterbible.org/search/preSearch.cfm?Criteria=I+Peter+3.19&amp;t=NKJV" TargetMode="External"/><Relationship Id="rId25" Type="http://schemas.openxmlformats.org/officeDocument/2006/relationships/hyperlink" Target="https://www.blueletterbible.org/search/preSearch.cfm?Criteria=I+Peter+3.19&amp;t=NKJV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I+Peter+3.18-20&amp;t=NKJV" TargetMode="External"/><Relationship Id="rId20" Type="http://schemas.openxmlformats.org/officeDocument/2006/relationships/hyperlink" Target="https://www.blueletterbible.org/search/preSearch.cfm?Criteria=I+Peter+3.18&amp;t=NKJV" TargetMode="External"/><Relationship Id="rId29" Type="http://schemas.openxmlformats.org/officeDocument/2006/relationships/hyperlink" Target="https://www.blueletterbible.org/search/preSearch.cfm?Criteria=Acts+1.9-11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12.23&amp;t=NKJV" TargetMode="External"/><Relationship Id="rId11" Type="http://schemas.openxmlformats.org/officeDocument/2006/relationships/hyperlink" Target="https://www.blueletterbible.org/search/preSearch.cfm?Criteria=II+Peter+2.4&amp;t=NKJV" TargetMode="External"/><Relationship Id="rId24" Type="http://schemas.openxmlformats.org/officeDocument/2006/relationships/hyperlink" Target="https://www.blueletterbible.org/search/preSearch.cfm?Criteria=I+Peter+3.19&amp;t=NKJV" TargetMode="External"/><Relationship Id="rId32" Type="http://schemas.openxmlformats.org/officeDocument/2006/relationships/hyperlink" Target="https://www.koffeekupkandor.com/gods-word-six.php" TargetMode="External"/><Relationship Id="rId5" Type="http://schemas.openxmlformats.org/officeDocument/2006/relationships/hyperlink" Target="https://www.blueletterbible.org/search/preSearch.cfm?Criteria=I+Peter+3.18-20&amp;t=ASV" TargetMode="External"/><Relationship Id="rId15" Type="http://schemas.openxmlformats.org/officeDocument/2006/relationships/hyperlink" Target="https://www.blueletterbible.org/search/preSearch.cfm?Criteria=I+Corinthians+1.23&amp;t=NKJV" TargetMode="External"/><Relationship Id="rId23" Type="http://schemas.openxmlformats.org/officeDocument/2006/relationships/hyperlink" Target="https://www.blueletterbible.org/search/preSearch.cfm?Criteria=I+Peter+3.18&amp;t=NKJV" TargetMode="External"/><Relationship Id="rId28" Type="http://schemas.openxmlformats.org/officeDocument/2006/relationships/hyperlink" Target="https://www.blueletterbible.org/search/preSearch.cfm?Criteria=Luke+24.36-51&amp;t=NKJV" TargetMode="External"/><Relationship Id="rId10" Type="http://schemas.openxmlformats.org/officeDocument/2006/relationships/hyperlink" Target="https://www.blueletterbible.org/search/preSearch.cfm?Criteria=I+Peter+3.19&amp;t=NKJV" TargetMode="External"/><Relationship Id="rId19" Type="http://schemas.openxmlformats.org/officeDocument/2006/relationships/hyperlink" Target="https://www.blueletterbible.org/search/preSearch.cfm?Criteria=I+Peter+3.18-19&amp;t=NKJV" TargetMode="External"/><Relationship Id="rId31" Type="http://schemas.openxmlformats.org/officeDocument/2006/relationships/hyperlink" Target="https://www.blueletterbible.org/search/preSearch.cfm?Criteria=Genesis+3.15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Hebrews+1.14&amp;t=NKJV" TargetMode="External"/><Relationship Id="rId14" Type="http://schemas.openxmlformats.org/officeDocument/2006/relationships/hyperlink" Target="https://www.blueletterbible.org/search/preSearch.cfm?Criteria=Matthew+4.23&amp;t=NKJV" TargetMode="External"/><Relationship Id="rId22" Type="http://schemas.openxmlformats.org/officeDocument/2006/relationships/hyperlink" Target="https://www.blueletterbible.org/search/preSearch.cfm?Criteria=I+Corinthians+15.44-50&amp;t=NKJV" TargetMode="External"/><Relationship Id="rId27" Type="http://schemas.openxmlformats.org/officeDocument/2006/relationships/hyperlink" Target="https://www.blueletterbible.org/search/preSearch.cfm?Criteria=I+Peter+3.18&amp;t=NKJV" TargetMode="External"/><Relationship Id="rId30" Type="http://schemas.openxmlformats.org/officeDocument/2006/relationships/hyperlink" Target="https://www.blueletterbible.org/search/preSearch.cfm?Criteria=I+Peter+3.19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2021-06-23T17:41:00Z</dcterms:created>
  <dcterms:modified xsi:type="dcterms:W3CDTF">2021-06-23T21:32:00Z</dcterms:modified>
</cp:coreProperties>
</file>