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B163F3">
        <w:rPr>
          <w:rFonts w:eastAsia="Times New Roman"/>
          <w:b/>
          <w:color w:val="222222"/>
          <w:sz w:val="32"/>
          <w:szCs w:val="32"/>
        </w:rPr>
        <w:t>Abraham’s Salvation — Time &amp; Place</w:t>
      </w:r>
    </w:p>
    <w:bookmarkEnd w:id="0"/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Types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Today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B163F3">
        <w:rPr>
          <w:rFonts w:eastAsia="Times New Roman"/>
          <w:b/>
          <w:bCs/>
          <w:color w:val="222222"/>
        </w:rPr>
        <w:t xml:space="preserve">By Arlen Chitwood of </w:t>
      </w:r>
      <w:hyperlink r:id="rId4" w:history="1">
        <w:r w:rsidRPr="00B163F3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" w:history="1">
        <w:r w:rsidRPr="00B163F3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4:3</w:t>
        </w:r>
      </w:hyperlink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quoting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6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15:6</w:t>
        </w:r>
      </w:hyperlink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“Abraham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said;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faith</w:t>
      </w:r>
      <w:r w:rsidRPr="00B163F3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counted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righteousness.”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correct.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15:6</w:t>
        </w:r>
      </w:hyperlink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progeny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(</w:t>
      </w:r>
      <w:r w:rsidRPr="00B163F3">
        <w:rPr>
          <w:rFonts w:eastAsia="Times New Roman"/>
          <w:i/>
          <w:iCs/>
          <w:color w:val="222222"/>
        </w:rPr>
        <w:t>cf</w:t>
      </w:r>
      <w:r w:rsidRPr="00B163F3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13:14-17</w:t>
        </w:r>
      </w:hyperlink>
      <w:r w:rsidRPr="00B163F3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B163F3">
          <w:rPr>
            <w:rFonts w:eastAsia="Times New Roman"/>
            <w:color w:val="0062B5"/>
            <w:u w:val="single"/>
          </w:rPr>
          <w:t>15:2-21</w:t>
        </w:r>
      </w:hyperlink>
      <w:r w:rsidRPr="00B163F3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(</w:t>
      </w:r>
      <w:hyperlink r:id="rId10" w:history="1">
        <w:r w:rsidRPr="00B163F3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4:1-22</w:t>
        </w:r>
      </w:hyperlink>
      <w:r w:rsidRPr="00B163F3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exercised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God.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fifteen,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(</w:t>
      </w:r>
      <w:r w:rsidRPr="00B163F3">
        <w:rPr>
          <w:rFonts w:eastAsia="Times New Roman"/>
          <w:i/>
          <w:iCs/>
          <w:color w:val="222222"/>
        </w:rPr>
        <w:t>cf</w:t>
      </w:r>
      <w:r w:rsidRPr="00B163F3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12:1-3</w:t>
        </w:r>
      </w:hyperlink>
      <w:r w:rsidRPr="00B163F3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B163F3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11:8</w:t>
        </w:r>
      </w:hyperlink>
      <w:r w:rsidRPr="00B163F3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issue,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belief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promised.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(saved)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Ur,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(</w:t>
      </w:r>
      <w:hyperlink r:id="rId13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12:1-4</w:t>
        </w:r>
      </w:hyperlink>
      <w:r w:rsidRPr="00B163F3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B163F3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11:8</w:t>
        </w:r>
      </w:hyperlink>
      <w:r w:rsidRPr="00B163F3">
        <w:rPr>
          <w:rFonts w:eastAsia="Times New Roman"/>
          <w:color w:val="222222"/>
        </w:rPr>
        <w:t>).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passage.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commanding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travel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se.</w:t>
      </w:r>
    </w:p>
    <w:p w:rsidR="00B163F3" w:rsidRPr="00B163F3" w:rsidRDefault="00B163F3" w:rsidP="00B163F3">
      <w:pPr>
        <w:shd w:val="clear" w:color="auto" w:fill="FFFFFF"/>
        <w:ind w:left="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eleven],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day.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proofErr w:type="gramStart"/>
      <w:r w:rsidRPr="00B163F3">
        <w:rPr>
          <w:rFonts w:eastAsia="Times New Roman"/>
          <w:i/>
          <w:iCs/>
          <w:color w:val="222222"/>
        </w:rPr>
        <w:t>would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saved</w:t>
      </w:r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Ur,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departure,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faith.”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ALONE</w:t>
      </w:r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15:6</w:t>
        </w:r>
      </w:hyperlink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B163F3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4:3</w:t>
        </w:r>
      </w:hyperlink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“belief”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progeny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</w:t>
      </w:r>
      <w:hyperlink r:id="rId17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15:2-21</w:t>
        </w:r>
      </w:hyperlink>
      <w:r w:rsidRPr="00B163F3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B163F3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4:1-22</w:t>
        </w:r>
      </w:hyperlink>
      <w:r w:rsidRPr="00B163F3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sacrifice,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blood.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sacrifices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15:6</w:t>
        </w:r>
      </w:hyperlink>
      <w:r w:rsidRPr="00B163F3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ratifying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Abrahamic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</w:t>
      </w:r>
      <w:hyperlink r:id="rId20" w:history="1">
        <w:r w:rsidRPr="00B163F3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12:1-3</w:t>
        </w:r>
      </w:hyperlink>
      <w:r w:rsidRPr="00B163F3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B163F3">
          <w:rPr>
            <w:rFonts w:eastAsia="Times New Roman"/>
            <w:color w:val="0062B5"/>
            <w:u w:val="single"/>
          </w:rPr>
          <w:t>15:9-23</w:t>
        </w:r>
      </w:hyperlink>
      <w:r w:rsidRPr="00B163F3">
        <w:rPr>
          <w:rFonts w:eastAsia="Times New Roman"/>
          <w:color w:val="222222"/>
        </w:rPr>
        <w:t>].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preceding.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[comparing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Scripture]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sprang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Abraham],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lastRenderedPageBreak/>
        <w:t>hundred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land;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Orpah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Ruth,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Moab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former,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world]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Abrahamic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sacrifices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</w:t>
      </w:r>
      <w:hyperlink r:id="rId22" w:history="1">
        <w:r w:rsidRPr="00B163F3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12:1ff</w:t>
        </w:r>
      </w:hyperlink>
      <w:r w:rsidRPr="00B163F3">
        <w:rPr>
          <w:rFonts w:eastAsia="Times New Roman"/>
          <w:color w:val="222222"/>
        </w:rPr>
        <w:t>].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latter,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manner,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Ruth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Orpah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Moab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world]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Bethlehem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occurred,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overall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</w:t>
      </w:r>
      <w:hyperlink r:id="rId23" w:history="1">
        <w:r w:rsidRPr="00B163F3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1-4</w:t>
        </w:r>
      </w:hyperlink>
      <w:r w:rsidRPr="00B163F3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</w:t>
      </w:r>
      <w:hyperlink r:id="rId24" w:history="1">
        <w:r w:rsidRPr="00B163F3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163F3">
          <w:rPr>
            <w:rFonts w:eastAsia="Times New Roman"/>
            <w:color w:val="0062B5"/>
            <w:u w:val="single"/>
          </w:rPr>
          <w:t>12:1ff</w:t>
        </w:r>
      </w:hyperlink>
      <w:r w:rsidRPr="00B163F3">
        <w:rPr>
          <w:rFonts w:eastAsia="Times New Roman"/>
          <w:color w:val="222222"/>
        </w:rPr>
        <w:t>].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Ur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world]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begun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journey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occurred.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exercise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land]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availed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Sacrifice,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saved.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move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calling.</w:t>
      </w: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</w:p>
    <w:p w:rsidR="00B163F3" w:rsidRPr="00B163F3" w:rsidRDefault="00B163F3" w:rsidP="00B163F3">
      <w:pPr>
        <w:shd w:val="clear" w:color="auto" w:fill="FFFFFF"/>
        <w:ind w:left="600"/>
        <w:rPr>
          <w:rFonts w:eastAsia="Times New Roman"/>
          <w:color w:val="222222"/>
        </w:rPr>
      </w:pPr>
      <w:r w:rsidRPr="00B163F3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types,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B163F3">
        <w:rPr>
          <w:rFonts w:eastAsia="Times New Roman"/>
          <w:i/>
          <w:iCs/>
          <w:color w:val="222222"/>
        </w:rPr>
        <w:t>detail</w:t>
      </w:r>
      <w:r w:rsidRPr="00B163F3">
        <w:rPr>
          <w:rFonts w:eastAsia="Times New Roman"/>
          <w:color w:val="222222"/>
        </w:rPr>
        <w:t>.)</w:t>
      </w:r>
    </w:p>
    <w:sectPr w:rsidR="00B163F3" w:rsidRPr="00B163F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F3"/>
    <w:rsid w:val="00774C51"/>
    <w:rsid w:val="00B163F3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E1B2-7859-4E78-92E3-F6309C3D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6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36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3.14-17&amp;t=NKJV" TargetMode="External"/><Relationship Id="rId13" Type="http://schemas.openxmlformats.org/officeDocument/2006/relationships/hyperlink" Target="https://www.blueletterbible.org/search/preSearch.cfm?Criteria=Genesis+12.1-4&amp;t=NKJV" TargetMode="External"/><Relationship Id="rId18" Type="http://schemas.openxmlformats.org/officeDocument/2006/relationships/hyperlink" Target="https://www.blueletterbible.org/search/preSearch.cfm?Criteria=Romans+4.1-22&amp;t=NKJ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15.9-23&amp;t=NKJV" TargetMode="External"/><Relationship Id="rId7" Type="http://schemas.openxmlformats.org/officeDocument/2006/relationships/hyperlink" Target="https://www.blueletterbible.org/search/preSearch.cfm?Criteria=Genesis+15.6&amp;t=NKJV" TargetMode="External"/><Relationship Id="rId12" Type="http://schemas.openxmlformats.org/officeDocument/2006/relationships/hyperlink" Target="https://www.blueletterbible.org/search/preSearch.cfm?Criteria=Hebrews+11.8&amp;t=NKJV" TargetMode="External"/><Relationship Id="rId17" Type="http://schemas.openxmlformats.org/officeDocument/2006/relationships/hyperlink" Target="https://www.blueletterbible.org/search/preSearch.cfm?Criteria=Genesis+15.2-21&amp;t=NKJ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4.3&amp;t=NKJV" TargetMode="External"/><Relationship Id="rId20" Type="http://schemas.openxmlformats.org/officeDocument/2006/relationships/hyperlink" Target="https://www.blueletterbible.org/search/preSearch.cfm?Criteria=Genesis+12.1-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5.6&amp;t=NKJV" TargetMode="External"/><Relationship Id="rId11" Type="http://schemas.openxmlformats.org/officeDocument/2006/relationships/hyperlink" Target="https://www.blueletterbible.org/search/preSearch.cfm?Criteria=Genesis+12.1-3&amp;t=NKJV" TargetMode="External"/><Relationship Id="rId24" Type="http://schemas.openxmlformats.org/officeDocument/2006/relationships/hyperlink" Target="https://www.blueletterbible.org/search/preSearch.cfm?Criteria=Exodus+12.1ff&amp;t=NKJV" TargetMode="External"/><Relationship Id="rId5" Type="http://schemas.openxmlformats.org/officeDocument/2006/relationships/hyperlink" Target="https://www.blueletterbible.org/search/preSearch.cfm?Criteria=Romans+4.3&amp;t=NKJV" TargetMode="External"/><Relationship Id="rId15" Type="http://schemas.openxmlformats.org/officeDocument/2006/relationships/hyperlink" Target="https://www.blueletterbible.org/search/preSearch.cfm?Criteria=Genesis+15.6&amp;t=NKJV" TargetMode="External"/><Relationship Id="rId23" Type="http://schemas.openxmlformats.org/officeDocument/2006/relationships/hyperlink" Target="https://www.blueletterbible.org/search/preSearch.cfm?Criteria=Ruth+1-4&amp;t=NKJV" TargetMode="External"/><Relationship Id="rId10" Type="http://schemas.openxmlformats.org/officeDocument/2006/relationships/hyperlink" Target="https://www.blueletterbible.org/search/preSearch.cfm?Criteria=Romans+4.1-22&amp;t=NKJV" TargetMode="External"/><Relationship Id="rId19" Type="http://schemas.openxmlformats.org/officeDocument/2006/relationships/hyperlink" Target="https://www.blueletterbible.org/search/preSearch.cfm?Criteria=Genesis+15.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5.2-21&amp;t=NKJV" TargetMode="External"/><Relationship Id="rId14" Type="http://schemas.openxmlformats.org/officeDocument/2006/relationships/hyperlink" Target="https://www.blueletterbible.org/search/preSearch.cfm?Criteria=Hebrews+11.8&amp;t=NKJV" TargetMode="External"/><Relationship Id="rId22" Type="http://schemas.openxmlformats.org/officeDocument/2006/relationships/hyperlink" Target="https://www.blueletterbible.org/search/preSearch.cfm?Criteria=Exodus+12.1ff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2020-10-01T20:32:00Z</dcterms:created>
  <dcterms:modified xsi:type="dcterms:W3CDTF">2020-10-01T20:36:00Z</dcterms:modified>
</cp:coreProperties>
</file>