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BA" w:rsidRPr="008325BA" w:rsidRDefault="008325BA" w:rsidP="008325BA">
      <w:pPr>
        <w:shd w:val="clear" w:color="auto" w:fill="FFFFFF"/>
        <w:rPr>
          <w:rFonts w:eastAsia="Times New Roman"/>
          <w:sz w:val="18"/>
          <w:szCs w:val="18"/>
        </w:rPr>
      </w:pPr>
      <w:r w:rsidRPr="008325BA">
        <w:rPr>
          <w:rFonts w:ascii="Arial Black" w:eastAsia="Times New Roman" w:hAnsi="Arial Black"/>
          <w:sz w:val="36"/>
          <w:szCs w:val="36"/>
        </w:rPr>
        <w:t>Ages</w:t>
      </w:r>
      <w:bookmarkStart w:id="0" w:name="_GoBack"/>
      <w:bookmarkEnd w:id="0"/>
    </w:p>
    <w:p w:rsidR="008325BA" w:rsidRPr="008325BA" w:rsidRDefault="008325BA" w:rsidP="008325BA">
      <w:pPr>
        <w:shd w:val="clear" w:color="auto" w:fill="FFFFFF"/>
        <w:rPr>
          <w:rFonts w:eastAsia="Times New Roman"/>
          <w:sz w:val="18"/>
          <w:szCs w:val="18"/>
        </w:rPr>
      </w:pPr>
      <w:r w:rsidRPr="008325BA">
        <w:rPr>
          <w:rFonts w:eastAsia="Times New Roman"/>
          <w:i/>
          <w:iCs/>
          <w:sz w:val="27"/>
          <w:szCs w:val="27"/>
        </w:rPr>
        <w:t>As</w:t>
      </w:r>
      <w:r>
        <w:rPr>
          <w:rFonts w:eastAsia="Times New Roman"/>
          <w:i/>
          <w:iCs/>
          <w:sz w:val="27"/>
          <w:szCs w:val="27"/>
        </w:rPr>
        <w:t xml:space="preserve"> </w:t>
      </w:r>
      <w:r w:rsidRPr="008325BA">
        <w:rPr>
          <w:rFonts w:eastAsia="Times New Roman"/>
          <w:i/>
          <w:iCs/>
          <w:sz w:val="27"/>
          <w:szCs w:val="27"/>
        </w:rPr>
        <w:t>Distinguished</w:t>
      </w:r>
      <w:r>
        <w:rPr>
          <w:rFonts w:eastAsia="Times New Roman"/>
          <w:i/>
          <w:iCs/>
          <w:sz w:val="27"/>
          <w:szCs w:val="27"/>
        </w:rPr>
        <w:t xml:space="preserve"> </w:t>
      </w:r>
      <w:r w:rsidRPr="008325BA">
        <w:rPr>
          <w:rFonts w:eastAsia="Times New Roman"/>
          <w:i/>
          <w:iCs/>
          <w:sz w:val="27"/>
          <w:szCs w:val="27"/>
        </w:rPr>
        <w:t>from</w:t>
      </w:r>
      <w:r>
        <w:rPr>
          <w:rFonts w:eastAsia="Times New Roman"/>
          <w:i/>
          <w:iCs/>
          <w:sz w:val="27"/>
          <w:szCs w:val="27"/>
        </w:rPr>
        <w:t xml:space="preserve"> </w:t>
      </w:r>
      <w:r w:rsidRPr="008325BA">
        <w:rPr>
          <w:rFonts w:eastAsia="Times New Roman"/>
          <w:i/>
          <w:iCs/>
          <w:sz w:val="27"/>
          <w:szCs w:val="27"/>
        </w:rPr>
        <w:t>“Dispensations”</w:t>
      </w:r>
    </w:p>
    <w:p w:rsid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8325BA">
          <w:rPr>
            <w:rFonts w:ascii="Arial Black" w:eastAsia="Times New Roman" w:hAnsi="Arial Black"/>
            <w:color w:val="2F5496"/>
            <w:u w:val="single"/>
          </w:rPr>
          <w:t>Lamp</w:t>
        </w:r>
        <w:r>
          <w:rPr>
            <w:rFonts w:ascii="Arial Black" w:eastAsia="Times New Roman" w:hAnsi="Arial Black"/>
            <w:color w:val="2F5496"/>
            <w:u w:val="single"/>
          </w:rPr>
          <w:t xml:space="preserve"> </w:t>
        </w:r>
        <w:r w:rsidRPr="008325BA">
          <w:rPr>
            <w:rFonts w:ascii="Arial Black" w:eastAsia="Times New Roman" w:hAnsi="Arial Black"/>
            <w:color w:val="2F5496"/>
            <w:u w:val="single"/>
          </w:rPr>
          <w:t>Broadcast</w:t>
        </w:r>
      </w:hyperlink>
    </w:p>
    <w:p w:rsidR="008325BA" w:rsidRPr="008325BA" w:rsidRDefault="008325BA" w:rsidP="008325BA">
      <w:pPr>
        <w:shd w:val="clear" w:color="auto" w:fill="FFFFFF"/>
        <w:rPr>
          <w:rFonts w:eastAsia="Times New Roman"/>
          <w:b/>
          <w:color w:val="2F5496" w:themeColor="accent5" w:themeShade="BF"/>
        </w:rPr>
      </w:pPr>
      <w:r w:rsidRPr="008325BA">
        <w:rPr>
          <w:rFonts w:eastAsia="Times New Roman"/>
          <w:b/>
          <w:color w:val="2F5496" w:themeColor="accent5" w:themeShade="BF"/>
        </w:rPr>
        <w:t>~~~~~~~~~~~~~~~~~~~~~~~~~~~~~~~~~~~~~~~~~~~~~~~~~~~~~~~~~~~~~~~~~~~~~~~~~~~~~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aion</w:t>
      </w:r>
      <w:r w:rsidRPr="008325B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twenty-six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times.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indiscriminate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“ages.”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“world”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“forever”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e.g</w:t>
      </w:r>
      <w:r w:rsidRPr="008325B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5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" w:history="1">
        <w:r w:rsidRPr="008325BA">
          <w:rPr>
            <w:rFonts w:eastAsia="Times New Roman"/>
            <w:color w:val="0062B5"/>
            <w:u w:val="single"/>
          </w:rPr>
          <w:t>13:22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" w:history="1">
        <w:r w:rsidRPr="008325BA">
          <w:rPr>
            <w:rFonts w:eastAsia="Times New Roman"/>
            <w:color w:val="0062B5"/>
            <w:u w:val="single"/>
          </w:rPr>
          <w:t>39-40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" w:history="1">
        <w:r w:rsidRPr="008325BA">
          <w:rPr>
            <w:rFonts w:eastAsia="Times New Roman"/>
            <w:color w:val="0062B5"/>
            <w:u w:val="single"/>
          </w:rPr>
          <w:t>49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" w:history="1">
        <w:r w:rsidRPr="008325BA">
          <w:rPr>
            <w:rFonts w:eastAsia="Times New Roman"/>
            <w:color w:val="0062B5"/>
            <w:u w:val="single"/>
          </w:rPr>
          <w:t>21:19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4:19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" w:history="1">
        <w:r w:rsidRPr="008325BA">
          <w:rPr>
            <w:rFonts w:eastAsia="Times New Roman"/>
            <w:color w:val="0062B5"/>
            <w:u w:val="single"/>
          </w:rPr>
          <w:t>10:30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" w:history="1">
        <w:r w:rsidRPr="008325BA">
          <w:rPr>
            <w:rFonts w:eastAsia="Times New Roman"/>
            <w:color w:val="0062B5"/>
            <w:u w:val="single"/>
          </w:rPr>
          <w:t>11:14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" w:history="1">
        <w:r w:rsidRPr="008325B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" w:history="1">
        <w:r w:rsidRPr="008325BA">
          <w:rPr>
            <w:rFonts w:eastAsia="Times New Roman"/>
            <w:color w:val="0062B5"/>
            <w:u w:val="single"/>
          </w:rPr>
          <w:t>5:6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" w:history="1">
        <w:r w:rsidRPr="008325BA">
          <w:rPr>
            <w:rFonts w:eastAsia="Times New Roman"/>
            <w:color w:val="0062B5"/>
            <w:u w:val="single"/>
          </w:rPr>
          <w:t>6:5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6" w:history="1">
        <w:r w:rsidRPr="008325BA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Actually,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17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2:7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" w:history="1">
        <w:r w:rsidRPr="008325BA">
          <w:rPr>
            <w:rFonts w:eastAsia="Times New Roman"/>
            <w:color w:val="0062B5"/>
            <w:u w:val="single"/>
          </w:rPr>
          <w:t>Colossians1:26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e.g.</w:t>
      </w:r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NASB,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NIV)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frequently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“world”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“forever.”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complicate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genea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(appearing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“generations”)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“ages”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twice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19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3:5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" w:history="1">
        <w:r w:rsidRPr="008325BA">
          <w:rPr>
            <w:rFonts w:eastAsia="Times New Roman"/>
            <w:color w:val="0062B5"/>
            <w:u w:val="single"/>
          </w:rPr>
          <w:t>21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mistranslation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misleading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3:21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genea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mistranslated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KJV.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Genea</w:t>
      </w:r>
      <w:proofErr w:type="spellEnd"/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“ages”;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twice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referring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i.e</w:t>
      </w:r>
      <w:r w:rsidRPr="008325B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hyperlink r:id="rId22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3:1-11</w:t>
        </w:r>
      </w:hyperlink>
      <w:r w:rsidRPr="008325B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end.”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ind w:left="720"/>
        <w:rPr>
          <w:rFonts w:eastAsia="Times New Roman"/>
        </w:rPr>
      </w:pP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genea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" w:history="1">
        <w:r w:rsidRPr="008325B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1:26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hyperlink r:id="rId24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3:21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“…</w:t>
      </w:r>
      <w:r w:rsidRPr="008325BA">
        <w:rPr>
          <w:rFonts w:eastAsia="Times New Roman"/>
          <w:i/>
          <w:iCs/>
        </w:rPr>
        <w:t>hid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generations</w:t>
      </w:r>
      <w:r w:rsidRPr="008325BA">
        <w:rPr>
          <w:rFonts w:eastAsia="Times New Roman"/>
        </w:rPr>
        <w:t>…”)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genea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“ages”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3:5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26" w:history="1">
        <w:r w:rsidRPr="008325BA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2:7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3:9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" w:history="1">
        <w:r w:rsidRPr="008325B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reach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8325BA">
        <w:rPr>
          <w:rFonts w:eastAsia="Times New Roman"/>
        </w:rPr>
        <w:t>earth</w:t>
      </w:r>
      <w:proofErr w:type="gramEnd"/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provincial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ruler.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“generations”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3:5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limiting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covers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hyperlink r:id="rId30" w:history="1">
        <w:r w:rsidRPr="008325BA">
          <w:rPr>
            <w:rFonts w:eastAsia="Times New Roman"/>
            <w:i/>
            <w:iCs/>
            <w:color w:val="0062B5"/>
            <w:u w:val="single"/>
          </w:rPr>
          <w:t>Ephesians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8325BA">
          <w:rPr>
            <w:rFonts w:eastAsia="Times New Roman"/>
            <w:i/>
            <w:iCs/>
            <w:color w:val="0062B5"/>
            <w:u w:val="single"/>
          </w:rPr>
          <w:t>3:5</w:t>
        </w:r>
      </w:hyperlink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KJV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lead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believe.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" w:history="1">
        <w:r w:rsidRPr="008325B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1:2-2:3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[2b].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32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12:31-32</w:t>
        </w:r>
      </w:hyperlink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blasphemy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[attributing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Spirit].”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committing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blasphemy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lastRenderedPageBreak/>
        <w:t>such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forgiven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“neither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[‘age’],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[‘age’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implied)]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33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forgiveness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follow.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(looked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nation),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gospel.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“Jesus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[alluding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Israel</w:t>
      </w:r>
      <w:r w:rsidRPr="008325B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seaside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[alluding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Gentiles</w:t>
      </w:r>
      <w:r w:rsidRPr="008325BA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34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13:1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" w:history="1">
        <w:r w:rsidRPr="008325B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7:2-3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23:38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" w:history="1">
        <w:r w:rsidRPr="008325B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13:1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parables.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16:17-23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" w:history="1">
        <w:r w:rsidRPr="008325BA">
          <w:rPr>
            <w:rFonts w:eastAsia="Times New Roman"/>
            <w:color w:val="0062B5"/>
            <w:u w:val="single"/>
          </w:rPr>
          <w:t>17:22-23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" w:history="1">
        <w:r w:rsidRPr="008325BA">
          <w:rPr>
            <w:rFonts w:eastAsia="Times New Roman"/>
            <w:color w:val="0062B5"/>
            <w:u w:val="single"/>
          </w:rPr>
          <w:t>20:17-19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21:43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rejected)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</w:t>
      </w:r>
      <w:r w:rsidRPr="008325B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bringing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thereof</w:t>
      </w:r>
      <w:r w:rsidRPr="008325BA">
        <w:rPr>
          <w:rFonts w:eastAsia="Times New Roman"/>
        </w:rPr>
        <w:t>.”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illustrate.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  <w:b/>
          <w:bCs/>
        </w:rPr>
        <w:t>Looking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Forward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Time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young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10:17-30</w:t>
        </w:r>
      </w:hyperlink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</w:t>
      </w:r>
      <w:r w:rsidRPr="008325B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Master,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proofErr w:type="gramStart"/>
      <w:r w:rsidRPr="008325B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</w:t>
      </w:r>
      <w:proofErr w:type="gram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life?</w:t>
      </w:r>
      <w:r w:rsidRPr="008325B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44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10:17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45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10:19-21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obedience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commanded,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denying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self,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cross,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6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16:24-27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life”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“life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age.”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“age”).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Confusion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ignoring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exists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extends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beyond).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hyperlink r:id="rId47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10:30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seventeen.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thirty,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versions,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life”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[some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‘age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come’]”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NASB,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NIV).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“world”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correctly,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versions);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aionios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10:17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9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10:30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climaxing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young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“…</w:t>
      </w:r>
      <w:r w:rsidRPr="008325B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age-lasting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life</w:t>
      </w:r>
      <w:r w:rsidRPr="008325B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“…</w:t>
      </w:r>
      <w:r w:rsidRPr="008325B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</w:t>
      </w:r>
      <w:r w:rsidRPr="008325B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life,”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view.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inheriting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“eternal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life”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‘world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come’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translations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read].”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inherited</w:t>
      </w:r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gift,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hope.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(present)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(future)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entirely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10:17-30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referred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1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10:30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specifically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identified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3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lasts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  <w:b/>
          <w:bCs/>
        </w:rPr>
        <w:t>Looking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Back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Time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extends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Era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extends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forward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Day</w:t>
      </w:r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extends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54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12:32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55" w:history="1">
        <w:r w:rsidRPr="008325B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10:17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6" w:history="1">
        <w:r w:rsidRPr="008325BA">
          <w:rPr>
            <w:rFonts w:eastAsia="Times New Roman"/>
            <w:color w:val="0062B5"/>
            <w:u w:val="single"/>
          </w:rPr>
          <w:t>30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unquestionably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covers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Day</w:t>
      </w:r>
      <w:r w:rsidRPr="008325BA">
        <w:rPr>
          <w:rFonts w:eastAsia="Times New Roman"/>
        </w:rPr>
        <w:t>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ind w:left="720"/>
        <w:rPr>
          <w:rFonts w:eastAsia="Times New Roman"/>
        </w:rPr>
      </w:pPr>
      <w:r w:rsidRPr="008325BA">
        <w:rPr>
          <w:rFonts w:eastAsia="Times New Roman"/>
        </w:rPr>
        <w:t>“</w:t>
      </w:r>
      <w:r w:rsidRPr="008325B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proofErr w:type="spellStart"/>
      <w:r w:rsidRPr="008325BA">
        <w:rPr>
          <w:rFonts w:eastAsia="Times New Roman"/>
          <w:i/>
          <w:iCs/>
        </w:rPr>
        <w:t>spake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mouth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prophets,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age’]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began</w:t>
      </w:r>
      <w:r w:rsidRPr="008325B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57" w:history="1">
        <w:r w:rsidRPr="008325B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1:70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ind w:left="720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ind w:left="720"/>
        <w:rPr>
          <w:rFonts w:eastAsia="Times New Roman"/>
        </w:rPr>
      </w:pPr>
      <w:r w:rsidRPr="008325BA">
        <w:rPr>
          <w:rFonts w:eastAsia="Times New Roman"/>
        </w:rPr>
        <w:t>“</w:t>
      </w:r>
      <w:r w:rsidRPr="008325BA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age’]”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58" w:history="1">
        <w:r w:rsidRPr="008325B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15:18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</w:t>
      </w:r>
      <w:r w:rsidRPr="008325BA">
        <w:rPr>
          <w:rFonts w:eastAsia="Times New Roman"/>
          <w:i/>
          <w:iCs/>
        </w:rPr>
        <w:t>prophet</w:t>
      </w:r>
      <w:r w:rsidRPr="008325B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59" w:history="1">
        <w:r w:rsidRPr="008325B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1:70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" w:history="1">
        <w:r w:rsidRPr="008325B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3:21</w:t>
        </w:r>
      </w:hyperlink>
      <w:r w:rsidRPr="008325B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broader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today.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(about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150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N.T.)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communicate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“announce,”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“declare”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people.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necessarily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“prophet”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messenger.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declare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verbal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expression.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61" w:history="1">
        <w:r w:rsidRPr="008325B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1:14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62" w:history="1">
        <w:r w:rsidRPr="008325B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23:37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" w:history="1">
        <w:r w:rsidRPr="008325B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24:27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canon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64" w:history="1">
        <w:r w:rsidRPr="008325BA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12:28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" w:history="1">
        <w:r w:rsidRPr="008325BA">
          <w:rPr>
            <w:rFonts w:eastAsia="Times New Roman"/>
            <w:color w:val="0062B5"/>
            <w:u w:val="single"/>
          </w:rPr>
          <w:t>13:9-10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" w:history="1">
        <w:r w:rsidRPr="008325B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4:11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67" w:history="1">
        <w:r w:rsidRPr="008325B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2:27-28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8" w:history="1">
        <w:r w:rsidRPr="008325B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11:3</w:t>
        </w:r>
      </w:hyperlink>
      <w:r w:rsidRPr="008325B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9" w:history="1">
        <w:r w:rsidRPr="008325BA">
          <w:rPr>
            <w:rFonts w:eastAsia="Times New Roman"/>
            <w:color w:val="0062B5"/>
            <w:u w:val="single"/>
          </w:rPr>
          <w:t>10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“prophets.”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others,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Enoch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communicated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0" w:history="1">
        <w:r w:rsidRPr="008325BA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2:5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" w:history="1">
        <w:r w:rsidRPr="008325B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1:14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strict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including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himself.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aion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(age)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" w:history="1">
        <w:r w:rsidRPr="008325B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1:70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73" w:history="1">
        <w:r w:rsidRPr="008325B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15:18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r w:rsidRPr="008325BA">
        <w:rPr>
          <w:rFonts w:eastAsia="Times New Roman"/>
          <w:i/>
          <w:iCs/>
        </w:rPr>
        <w:t>cf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" w:history="1">
        <w:r w:rsidRPr="008325B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9:32</w:t>
        </w:r>
      </w:hyperlink>
      <w:r w:rsidRPr="008325B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" w:history="1">
        <w:r w:rsidRPr="008325B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3:21</w:t>
        </w:r>
      </w:hyperlink>
      <w:r w:rsidRPr="008325B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arrive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conclusion</w:t>
      </w:r>
      <w:r w:rsidRPr="008325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“prophets,”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Enoch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“prophesied”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</w:t>
      </w:r>
      <w:hyperlink r:id="rId76" w:history="1">
        <w:r w:rsidRPr="008325B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1:14</w:t>
        </w:r>
      </w:hyperlink>
      <w:r w:rsidRPr="008325B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Adam</w:t>
      </w:r>
      <w:r w:rsidRPr="008325BA">
        <w:rPr>
          <w:rFonts w:eastAsia="Times New Roman"/>
        </w:rPr>
        <w:t>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Complete</w:t>
      </w:r>
      <w:r>
        <w:rPr>
          <w:rFonts w:eastAsia="Times New Roman"/>
          <w:b/>
          <w:bCs/>
        </w:rPr>
        <w:t xml:space="preserve"> </w:t>
      </w:r>
      <w:r w:rsidRPr="008325BA">
        <w:rPr>
          <w:rFonts w:eastAsia="Times New Roman"/>
          <w:b/>
          <w:bCs/>
        </w:rPr>
        <w:t>Picture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77" w:history="1">
        <w:r w:rsidRPr="008325B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15:18</w:t>
        </w:r>
      </w:hyperlink>
      <w:r w:rsidRPr="008325BA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</w:rPr>
        <w:t>“all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things”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</w:t>
      </w:r>
      <w:hyperlink r:id="rId78" w:history="1">
        <w:r w:rsidRPr="008325B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</w:t>
        </w:r>
      </w:hyperlink>
      <w:r w:rsidRPr="008325BA">
        <w:rPr>
          <w:rFonts w:eastAsia="Times New Roman"/>
        </w:rPr>
        <w:t>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Omniscient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Architect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proofErr w:type="spellStart"/>
      <w:r w:rsidRPr="008325BA">
        <w:rPr>
          <w:rFonts w:eastAsia="Times New Roman"/>
        </w:rPr>
        <w:t>known</w:t>
      </w:r>
      <w:proofErr w:type="spellEnd"/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transpiring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“</w:t>
      </w:r>
      <w:proofErr w:type="spellStart"/>
      <w:r w:rsidRPr="008325BA">
        <w:rPr>
          <w:rFonts w:eastAsia="Times New Roman"/>
          <w:i/>
          <w:iCs/>
        </w:rPr>
        <w:t>spake</w:t>
      </w:r>
      <w:proofErr w:type="spellEnd"/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mouth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prophets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[revealing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purposes],”</w:t>
      </w:r>
      <w:r>
        <w:rPr>
          <w:rFonts w:eastAsia="Times New Roman"/>
        </w:rPr>
        <w:t xml:space="preserve"> </w:t>
      </w:r>
      <w:r w:rsidRPr="008325B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8325BA">
        <w:rPr>
          <w:rFonts w:eastAsia="Times New Roman"/>
          <w:i/>
          <w:iCs/>
        </w:rPr>
        <w:t>Adam</w:t>
      </w:r>
      <w:r w:rsidRPr="008325BA">
        <w:rPr>
          <w:rFonts w:eastAsia="Times New Roman"/>
        </w:rPr>
        <w:t>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Scripture.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one)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9" w:history="1">
        <w:r w:rsidRPr="008325B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0" w:history="1">
        <w:r w:rsidRPr="008325B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325BA">
          <w:rPr>
            <w:rFonts w:eastAsia="Times New Roman"/>
            <w:color w:val="0062B5"/>
            <w:u w:val="single"/>
          </w:rPr>
          <w:t>1:2b</w:t>
        </w:r>
      </w:hyperlink>
      <w:r w:rsidRPr="008325BA">
        <w:rPr>
          <w:rFonts w:eastAsia="Times New Roman"/>
        </w:rPr>
        <w:t>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close,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years.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whole)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replaced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apparent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ages).</w:t>
      </w: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</w:p>
    <w:p w:rsidR="008325BA" w:rsidRPr="008325BA" w:rsidRDefault="008325BA" w:rsidP="008325BA">
      <w:pPr>
        <w:shd w:val="clear" w:color="auto" w:fill="FFFFFF"/>
        <w:rPr>
          <w:rFonts w:eastAsia="Times New Roman"/>
        </w:rPr>
      </w:pPr>
      <w:r w:rsidRPr="008325B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unrevealed.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point.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unending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God-designed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arranged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8325BA">
        <w:rPr>
          <w:rFonts w:eastAsia="Times New Roman"/>
        </w:rPr>
        <w:t>eternity.</w:t>
      </w:r>
    </w:p>
    <w:sectPr w:rsidR="008325BA" w:rsidRPr="008325B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01"/>
    <w:rsid w:val="000842DC"/>
    <w:rsid w:val="00181E77"/>
    <w:rsid w:val="00293B00"/>
    <w:rsid w:val="00404658"/>
    <w:rsid w:val="00737C60"/>
    <w:rsid w:val="00774C51"/>
    <w:rsid w:val="008325BA"/>
    <w:rsid w:val="008B5D52"/>
    <w:rsid w:val="009C7E70"/>
    <w:rsid w:val="00A63840"/>
    <w:rsid w:val="00B51BB6"/>
    <w:rsid w:val="00B63001"/>
    <w:rsid w:val="00B741CE"/>
    <w:rsid w:val="00BA3DB1"/>
    <w:rsid w:val="00BB52AE"/>
    <w:rsid w:val="00BB5430"/>
    <w:rsid w:val="00CD60BB"/>
    <w:rsid w:val="00DC0980"/>
    <w:rsid w:val="00F1670A"/>
    <w:rsid w:val="00F47936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DF549-12E6-4771-8271-CCCD3393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D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D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9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197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35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8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Hebrews+1.2&amp;t=NKJV" TargetMode="External"/><Relationship Id="rId18" Type="http://schemas.openxmlformats.org/officeDocument/2006/relationships/hyperlink" Target="https://www.blueletterbible.org/search/preSearch.cfm?Criteria=Colossian+1.26&amp;t=NKJV" TargetMode="External"/><Relationship Id="rId26" Type="http://schemas.openxmlformats.org/officeDocument/2006/relationships/hyperlink" Target="https://www.blueletterbible.org/search/preSearch.cfm?Criteria=I+Corinthians+2.7&amp;t=NKJV" TargetMode="External"/><Relationship Id="rId39" Type="http://schemas.openxmlformats.org/officeDocument/2006/relationships/hyperlink" Target="https://www.blueletterbible.org/search/preSearch.cfm?Criteria=Matthew+17.22-23&amp;t=NKJV" TargetMode="External"/><Relationship Id="rId21" Type="http://schemas.openxmlformats.org/officeDocument/2006/relationships/hyperlink" Target="https://www.blueletterbible.org/search/preSearch.cfm?Criteria=Ephesians+3.21&amp;t=NKJV" TargetMode="External"/><Relationship Id="rId34" Type="http://schemas.openxmlformats.org/officeDocument/2006/relationships/hyperlink" Target="https://www.blueletterbible.org/search/preSearch.cfm?Criteria=Matthew+13.1&amp;t=NKJV" TargetMode="External"/><Relationship Id="rId42" Type="http://schemas.openxmlformats.org/officeDocument/2006/relationships/hyperlink" Target="https://www.blueletterbible.org/search/preSearch.cfm?Criteria=Matthew+12.32&amp;t=NKJV" TargetMode="External"/><Relationship Id="rId47" Type="http://schemas.openxmlformats.org/officeDocument/2006/relationships/hyperlink" Target="https://www.blueletterbible.org/search/preSearch.cfm?Criteria=Mark+10.30&amp;t=NKJV" TargetMode="External"/><Relationship Id="rId50" Type="http://schemas.openxmlformats.org/officeDocument/2006/relationships/hyperlink" Target="https://www.blueletterbible.org/search/preSearch.cfm?Criteria=Mark+10.17-30&amp;t=NKJV" TargetMode="External"/><Relationship Id="rId55" Type="http://schemas.openxmlformats.org/officeDocument/2006/relationships/hyperlink" Target="https://www.blueletterbible.org/search/preSearch.cfm?Criteria=Mark+10.17&amp;t=NKJV" TargetMode="External"/><Relationship Id="rId63" Type="http://schemas.openxmlformats.org/officeDocument/2006/relationships/hyperlink" Target="https://www.blueletterbible.org/search/preSearch.cfm?Criteria=Luke+24.27&amp;t=NKJV" TargetMode="External"/><Relationship Id="rId68" Type="http://schemas.openxmlformats.org/officeDocument/2006/relationships/hyperlink" Target="https://www.blueletterbible.org/search/preSearch.cfm?Criteria=Revelation+11.3&amp;t=NKJV" TargetMode="External"/><Relationship Id="rId76" Type="http://schemas.openxmlformats.org/officeDocument/2006/relationships/hyperlink" Target="https://www.blueletterbible.org/search/preSearch.cfm?Criteria=Jude+1.14&amp;t=NKJV" TargetMode="External"/><Relationship Id="rId7" Type="http://schemas.openxmlformats.org/officeDocument/2006/relationships/hyperlink" Target="https://www.blueletterbible.org/search/preSearch.cfm?Criteria=Matthew+13.39-40&amp;t=NKJV" TargetMode="External"/><Relationship Id="rId71" Type="http://schemas.openxmlformats.org/officeDocument/2006/relationships/hyperlink" Target="https://www.blueletterbible.org/search/preSearch.cfm?Criteria=Jude+1.1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6.20&amp;t=NKJV" TargetMode="External"/><Relationship Id="rId29" Type="http://schemas.openxmlformats.org/officeDocument/2006/relationships/hyperlink" Target="https://www.blueletterbible.org/search/preSearch.cfm?Criteria=Ephesians+3.5&amp;t=NKJV" TargetMode="External"/><Relationship Id="rId11" Type="http://schemas.openxmlformats.org/officeDocument/2006/relationships/hyperlink" Target="https://www.blueletterbible.org/search/preSearch.cfm?Criteria=Mark+10.30&amp;t=NKJV" TargetMode="External"/><Relationship Id="rId24" Type="http://schemas.openxmlformats.org/officeDocument/2006/relationships/hyperlink" Target="https://www.blueletterbible.org/search/preSearch.cfm?Criteria=Ephesians+3.21&amp;t=NKJV" TargetMode="External"/><Relationship Id="rId32" Type="http://schemas.openxmlformats.org/officeDocument/2006/relationships/hyperlink" Target="https://www.blueletterbible.org/search/preSearch.cfm?Criteria=Matthew+12.31-32&amp;t=NKJV" TargetMode="External"/><Relationship Id="rId37" Type="http://schemas.openxmlformats.org/officeDocument/2006/relationships/hyperlink" Target="https://www.blueletterbible.org/search/preSearch.cfm?Criteria=Revelation+13.1&amp;t=NKJV" TargetMode="External"/><Relationship Id="rId40" Type="http://schemas.openxmlformats.org/officeDocument/2006/relationships/hyperlink" Target="https://www.blueletterbible.org/search/preSearch.cfm?Criteria=Matthew+20.17-19&amp;t=NKJV" TargetMode="External"/><Relationship Id="rId45" Type="http://schemas.openxmlformats.org/officeDocument/2006/relationships/hyperlink" Target="https://www.blueletterbible.org/search/preSearch.cfm?Criteria=Mark+10.19-21&amp;t=NKJV" TargetMode="External"/><Relationship Id="rId53" Type="http://schemas.openxmlformats.org/officeDocument/2006/relationships/hyperlink" Target="https://www.blueletterbible.org/search/preSearch.cfm?Criteria=Matthew+12.32&amp;t=NKJV" TargetMode="External"/><Relationship Id="rId58" Type="http://schemas.openxmlformats.org/officeDocument/2006/relationships/hyperlink" Target="https://www.blueletterbible.org/search/preSearch.cfm?Criteria=Acts+15.18&amp;t=NKJV" TargetMode="External"/><Relationship Id="rId66" Type="http://schemas.openxmlformats.org/officeDocument/2006/relationships/hyperlink" Target="https://www.blueletterbible.org/search/preSearch.cfm?Criteria=Ephesians+4.11&amp;t=NKJV" TargetMode="External"/><Relationship Id="rId74" Type="http://schemas.openxmlformats.org/officeDocument/2006/relationships/hyperlink" Target="https://www.blueletterbible.org/search/preSearch.cfm?Criteria=John+9.32&amp;t=NKJV" TargetMode="External"/><Relationship Id="rId79" Type="http://schemas.openxmlformats.org/officeDocument/2006/relationships/hyperlink" Target="https://www.blueletterbible.org/search/preSearch.cfm?Criteria=Genesis+1.1&amp;t=NKJV" TargetMode="External"/><Relationship Id="rId5" Type="http://schemas.openxmlformats.org/officeDocument/2006/relationships/hyperlink" Target="https://www.blueletterbible.org/search/preSearch.cfm?Criteria=Matthew+12.32&amp;t=NKJV" TargetMode="External"/><Relationship Id="rId61" Type="http://schemas.openxmlformats.org/officeDocument/2006/relationships/hyperlink" Target="https://www.blueletterbible.org/search/preSearch.cfm?Criteria=Jude+1.14&amp;t=NKJV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Mark+4.19&amp;t=NKJV" TargetMode="External"/><Relationship Id="rId19" Type="http://schemas.openxmlformats.org/officeDocument/2006/relationships/hyperlink" Target="https://www.blueletterbible.org/search/preSearch.cfm?Criteria=Ephesians+3.5&amp;t=NKJV" TargetMode="External"/><Relationship Id="rId31" Type="http://schemas.openxmlformats.org/officeDocument/2006/relationships/hyperlink" Target="https://www.blueletterbible.org/search/preSearch.cfm?Criteria=Genesis+1.2-2.3&amp;t=NKJV" TargetMode="External"/><Relationship Id="rId44" Type="http://schemas.openxmlformats.org/officeDocument/2006/relationships/hyperlink" Target="https://www.blueletterbible.org/search/preSearch.cfm?Criteria=Mark+10.17&amp;t=NKJV" TargetMode="External"/><Relationship Id="rId52" Type="http://schemas.openxmlformats.org/officeDocument/2006/relationships/hyperlink" Target="https://www.blueletterbible.org/search/preSearch.cfm?Criteria=Mark+10.30&amp;t=NKJV" TargetMode="External"/><Relationship Id="rId60" Type="http://schemas.openxmlformats.org/officeDocument/2006/relationships/hyperlink" Target="https://www.blueletterbible.org/search/preSearch.cfm?Criteria=Acts+3.21&amp;t=NKJV" TargetMode="External"/><Relationship Id="rId65" Type="http://schemas.openxmlformats.org/officeDocument/2006/relationships/hyperlink" Target="https://www.blueletterbible.org/search/preSearch.cfm?Criteria=I+Corinthians+13.9-10&amp;t=NKJV" TargetMode="External"/><Relationship Id="rId73" Type="http://schemas.openxmlformats.org/officeDocument/2006/relationships/hyperlink" Target="https://www.blueletterbible.org/search/preSearch.cfm?Criteria=Acts+15.18&amp;t=NKJV" TargetMode="External"/><Relationship Id="rId78" Type="http://schemas.openxmlformats.org/officeDocument/2006/relationships/hyperlink" Target="https://www.blueletterbible.org/search/preSearch.cfm?Criteria=Hebrews+1.2&amp;t=NKJV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Matthew+21.19&amp;t=NKJV" TargetMode="External"/><Relationship Id="rId14" Type="http://schemas.openxmlformats.org/officeDocument/2006/relationships/hyperlink" Target="https://www.blueletterbible.org/search/preSearch.cfm?Criteria=Hebrews+5.6&amp;t=NKJV" TargetMode="External"/><Relationship Id="rId22" Type="http://schemas.openxmlformats.org/officeDocument/2006/relationships/hyperlink" Target="https://www.blueletterbible.org/search/preSearch.cfm?Criteria=Ephesians+3.1-11&amp;t=NKJV" TargetMode="External"/><Relationship Id="rId27" Type="http://schemas.openxmlformats.org/officeDocument/2006/relationships/hyperlink" Target="https://www.blueletterbible.org/search/preSearch.cfm?Criteria=Ephesians+3.9&amp;t=NKJV" TargetMode="External"/><Relationship Id="rId30" Type="http://schemas.openxmlformats.org/officeDocument/2006/relationships/hyperlink" Target="https://www.blueletterbible.org/search/preSearch.cfm?Criteria=Ephesians+3.5&amp;t=NKJV" TargetMode="External"/><Relationship Id="rId35" Type="http://schemas.openxmlformats.org/officeDocument/2006/relationships/hyperlink" Target="https://www.blueletterbible.org/search/preSearch.cfm?Criteria=Daniel+7.2-3&amp;t=NKJV" TargetMode="External"/><Relationship Id="rId43" Type="http://schemas.openxmlformats.org/officeDocument/2006/relationships/hyperlink" Target="https://www.blueletterbible.org/search/preSearch.cfm?Criteria=Mark+10.17-30&amp;t=NKJV" TargetMode="External"/><Relationship Id="rId48" Type="http://schemas.openxmlformats.org/officeDocument/2006/relationships/hyperlink" Target="https://www.blueletterbible.org/search/preSearch.cfm?Criteria=Mark+10.17&amp;t=NKJV" TargetMode="External"/><Relationship Id="rId56" Type="http://schemas.openxmlformats.org/officeDocument/2006/relationships/hyperlink" Target="https://www.blueletterbible.org/search/preSearch.cfm?Criteria=Mark+10.30&amp;t=NKJV" TargetMode="External"/><Relationship Id="rId64" Type="http://schemas.openxmlformats.org/officeDocument/2006/relationships/hyperlink" Target="https://www.blueletterbible.org/search/preSearch.cfm?Criteria=I+Corinthians+12.28&amp;t=NKJV" TargetMode="External"/><Relationship Id="rId69" Type="http://schemas.openxmlformats.org/officeDocument/2006/relationships/hyperlink" Target="https://www.blueletterbible.org/search/preSearch.cfm?Criteria=Revelation+11.10&amp;t=NKJV" TargetMode="External"/><Relationship Id="rId77" Type="http://schemas.openxmlformats.org/officeDocument/2006/relationships/hyperlink" Target="https://www.blueletterbible.org/search/preSearch.cfm?Criteria=Acts+15.18&amp;t=NKJV" TargetMode="External"/><Relationship Id="rId8" Type="http://schemas.openxmlformats.org/officeDocument/2006/relationships/hyperlink" Target="https://www.blueletterbible.org/search/preSearch.cfm?Criteria=Matthew+13.49&amp;t=NKJV" TargetMode="External"/><Relationship Id="rId51" Type="http://schemas.openxmlformats.org/officeDocument/2006/relationships/hyperlink" Target="https://www.blueletterbible.org/search/preSearch.cfm?Criteria=Matthew+12.32&amp;t=NKJV" TargetMode="External"/><Relationship Id="rId72" Type="http://schemas.openxmlformats.org/officeDocument/2006/relationships/hyperlink" Target="https://www.blueletterbible.org/search/preSearch.cfm?Criteria=Luke+1.70&amp;t=NKJV" TargetMode="External"/><Relationship Id="rId80" Type="http://schemas.openxmlformats.org/officeDocument/2006/relationships/hyperlink" Target="https://www.blueletterbible.org/search/preSearch.cfm?Criteria=Genesis+1.2b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rk+11.14&amp;t=NKJV" TargetMode="External"/><Relationship Id="rId17" Type="http://schemas.openxmlformats.org/officeDocument/2006/relationships/hyperlink" Target="https://www.blueletterbible.org/search/preSearch.cfm?Criteria=Ephesians+2.7&amp;t=NKJV" TargetMode="External"/><Relationship Id="rId25" Type="http://schemas.openxmlformats.org/officeDocument/2006/relationships/hyperlink" Target="https://www.blueletterbible.org/search/preSearch.cfm?Criteria=Ephesians+3.5&amp;t=NKJV" TargetMode="External"/><Relationship Id="rId33" Type="http://schemas.openxmlformats.org/officeDocument/2006/relationships/hyperlink" Target="https://www.blueletterbible.org/search/preSearch.cfm?Criteria=Matthew+12.32&amp;t=NKJV" TargetMode="External"/><Relationship Id="rId38" Type="http://schemas.openxmlformats.org/officeDocument/2006/relationships/hyperlink" Target="https://www.blueletterbible.org/search/preSearch.cfm?Criteria=Matthew+16.17-23&amp;t=NKJV" TargetMode="External"/><Relationship Id="rId46" Type="http://schemas.openxmlformats.org/officeDocument/2006/relationships/hyperlink" Target="https://www.blueletterbible.org/search/preSearch.cfm?Criteria=Matthew+16.24-27&amp;t=NKJV" TargetMode="External"/><Relationship Id="rId59" Type="http://schemas.openxmlformats.org/officeDocument/2006/relationships/hyperlink" Target="https://www.blueletterbible.org/search/preSearch.cfm?Criteria=Luke+1.70&amp;t=NKJV" TargetMode="External"/><Relationship Id="rId67" Type="http://schemas.openxmlformats.org/officeDocument/2006/relationships/hyperlink" Target="https://www.blueletterbible.org/search/preSearch.cfm?Criteria=Joel+2.27-28&amp;t=NKJV" TargetMode="External"/><Relationship Id="rId20" Type="http://schemas.openxmlformats.org/officeDocument/2006/relationships/hyperlink" Target="https://www.blueletterbible.org/search/preSearch.cfm?Criteria=Ephesians+3.21&amp;t=NKJV" TargetMode="External"/><Relationship Id="rId41" Type="http://schemas.openxmlformats.org/officeDocument/2006/relationships/hyperlink" Target="https://www.blueletterbible.org/search/preSearch.cfm?Criteria=Matthew+21.43&amp;t=NKJV" TargetMode="External"/><Relationship Id="rId54" Type="http://schemas.openxmlformats.org/officeDocument/2006/relationships/hyperlink" Target="https://www.blueletterbible.org/search/preSearch.cfm?Criteria=Matthew+12.32&amp;t=NKJV" TargetMode="External"/><Relationship Id="rId62" Type="http://schemas.openxmlformats.org/officeDocument/2006/relationships/hyperlink" Target="https://www.blueletterbible.org/search/preSearch.cfm?Criteria=Matthew+23.37&amp;t=NKJV" TargetMode="External"/><Relationship Id="rId70" Type="http://schemas.openxmlformats.org/officeDocument/2006/relationships/hyperlink" Target="https://www.blueletterbible.org/search/preSearch.cfm?Criteria=II+Peter+2.5&amp;t=NKJV" TargetMode="External"/><Relationship Id="rId75" Type="http://schemas.openxmlformats.org/officeDocument/2006/relationships/hyperlink" Target="https://www.blueletterbible.org/search/preSearch.cfm?Criteria=Acts+3.2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13.22&amp;t=NKJV" TargetMode="External"/><Relationship Id="rId15" Type="http://schemas.openxmlformats.org/officeDocument/2006/relationships/hyperlink" Target="https://www.blueletterbible.org/search/preSearch.cfm?Criteria=Hebrews+6.5&amp;t=NKJV" TargetMode="External"/><Relationship Id="rId23" Type="http://schemas.openxmlformats.org/officeDocument/2006/relationships/hyperlink" Target="https://www.blueletterbible.org/search/preSearch.cfm?Criteria=Colossians+1.26&amp;t=NKJV" TargetMode="External"/><Relationship Id="rId28" Type="http://schemas.openxmlformats.org/officeDocument/2006/relationships/hyperlink" Target="https://www.blueletterbible.org/search/preSearch.cfm?Criteria=Hebrews+1.2&amp;t=NKJV" TargetMode="External"/><Relationship Id="rId36" Type="http://schemas.openxmlformats.org/officeDocument/2006/relationships/hyperlink" Target="https://www.blueletterbible.org/search/preSearch.cfm?Criteria=Matthew+23.38&amp;t=NKJV" TargetMode="External"/><Relationship Id="rId49" Type="http://schemas.openxmlformats.org/officeDocument/2006/relationships/hyperlink" Target="https://www.blueletterbible.org/search/preSearch.cfm?Criteria=Mark+10.30&amp;t=NKJV" TargetMode="External"/><Relationship Id="rId57" Type="http://schemas.openxmlformats.org/officeDocument/2006/relationships/hyperlink" Target="https://www.blueletterbible.org/search/preSearch.cfm?Criteria=Luke+1.7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8</cp:revision>
  <dcterms:created xsi:type="dcterms:W3CDTF">2021-07-28T15:32:00Z</dcterms:created>
  <dcterms:modified xsi:type="dcterms:W3CDTF">2021-07-29T18:18:00Z</dcterms:modified>
</cp:coreProperties>
</file>