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A4" w:rsidRPr="000D2BA4" w:rsidRDefault="000D2BA4" w:rsidP="000D2BA4">
      <w:pPr>
        <w:shd w:val="clear" w:color="auto" w:fill="FFFFFF"/>
        <w:rPr>
          <w:rFonts w:eastAsia="Times New Roman"/>
          <w:sz w:val="18"/>
          <w:szCs w:val="18"/>
        </w:rPr>
      </w:pPr>
      <w:r w:rsidRPr="000D2BA4">
        <w:rPr>
          <w:rFonts w:ascii="Arial Black" w:eastAsia="Times New Roman" w:hAnsi="Arial Black"/>
          <w:sz w:val="36"/>
          <w:szCs w:val="36"/>
        </w:rPr>
        <w:t>God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0D2BA4">
        <w:rPr>
          <w:rFonts w:ascii="Arial Black" w:eastAsia="Times New Roman" w:hAnsi="Arial Black"/>
          <w:sz w:val="36"/>
          <w:szCs w:val="36"/>
        </w:rPr>
        <w:t>is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proofErr w:type="gramStart"/>
      <w:r w:rsidRPr="000D2BA4">
        <w:rPr>
          <w:rFonts w:ascii="Arial Black" w:eastAsia="Times New Roman" w:hAnsi="Arial Black"/>
          <w:sz w:val="36"/>
          <w:szCs w:val="36"/>
        </w:rPr>
        <w:t>Speaking</w:t>
      </w:r>
      <w:proofErr w:type="gramEnd"/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0D2BA4">
        <w:rPr>
          <w:rFonts w:eastAsia="Times New Roman"/>
          <w:b/>
          <w:bCs/>
        </w:rPr>
        <w:t>Joseph</w:t>
      </w:r>
      <w:r>
        <w:rPr>
          <w:rFonts w:eastAsia="Times New Roman"/>
          <w:b/>
          <w:bCs/>
        </w:rPr>
        <w:t xml:space="preserve"> </w:t>
      </w:r>
      <w:proofErr w:type="spellStart"/>
      <w:r w:rsidRPr="000D2BA4">
        <w:rPr>
          <w:rFonts w:eastAsia="Times New Roman"/>
          <w:b/>
          <w:bCs/>
        </w:rPr>
        <w:t>Mizzi</w:t>
      </w:r>
      <w:proofErr w:type="spellEnd"/>
    </w:p>
    <w:p w:rsid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4" w:history="1">
        <w:r w:rsidRPr="000D2BA4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D2BA4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D2BA4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D2BA4">
          <w:rPr>
            <w:rFonts w:eastAsia="Times New Roman"/>
            <w:color w:val="2F5597"/>
            <w:u w:val="single"/>
          </w:rPr>
          <w:t>Topical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D2BA4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D2BA4">
          <w:rPr>
            <w:rFonts w:eastAsia="Times New Roman"/>
            <w:color w:val="2F5597"/>
            <w:u w:val="single"/>
          </w:rPr>
          <w:t>Studies</w:t>
        </w:r>
      </w:hyperlink>
    </w:p>
    <w:p w:rsidR="000D2BA4" w:rsidRPr="000D2BA4" w:rsidRDefault="000D2BA4" w:rsidP="000D2BA4">
      <w:pPr>
        <w:shd w:val="clear" w:color="auto" w:fill="FFFFFF"/>
        <w:rPr>
          <w:rFonts w:eastAsia="Times New Roman"/>
          <w:color w:val="2F5496" w:themeColor="accent5" w:themeShade="BF"/>
        </w:rPr>
      </w:pPr>
      <w:r w:rsidRPr="000D2BA4">
        <w:rPr>
          <w:rFonts w:eastAsia="Times New Roman"/>
          <w:color w:val="2F5496" w:themeColor="accent5" w:themeShade="BF"/>
        </w:rPr>
        <w:t>~~~~~~~~~~~~~~~~~~~~~~~~~~~~~~~~~~~~~~~~~~~~~~~~~~~~~~~~~~~~~~~~~~~~~~~~~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ourselves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cultures,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fashioned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diverse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religions.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resources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helpless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hopelessly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lost;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God.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wisdom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God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5" w:history="1">
        <w:r w:rsidRPr="000D2BA4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1:21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pleased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show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universe.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nobody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valid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excuse;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nobody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rightly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claim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6" w:history="1">
        <w:r w:rsidRPr="000D2BA4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1:19</w:t>
        </w:r>
      </w:hyperlink>
      <w:r w:rsidRPr="000D2BA4">
        <w:rPr>
          <w:rFonts w:eastAsia="Times New Roman"/>
        </w:rPr>
        <w:t>).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Furthermore,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pleased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special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personal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spoken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steps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involved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communication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process: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inspiration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illumination.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  <w:b/>
          <w:bCs/>
        </w:rPr>
        <w:t>Revelation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known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“revelation”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intervened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course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will.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ancient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flood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Noah’s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bless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descendant,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Law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deported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Babylon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idolatry,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land,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repeatedly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promised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Messiah.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prophets.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Isaiah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proofErr w:type="gramStart"/>
      <w:r w:rsidRPr="000D2BA4">
        <w:rPr>
          <w:rFonts w:eastAsia="Times New Roman"/>
        </w:rPr>
        <w:t>prophets</w:t>
      </w:r>
      <w:proofErr w:type="gramEnd"/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name: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Lord!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comments,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Prophecy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men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spoke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moved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Spirit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7" w:history="1">
        <w:r w:rsidRPr="000D2BA4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1:21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miracles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testified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mouthpieces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world.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reached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pinnacle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incarnation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spoken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Son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8" w:history="1">
        <w:r w:rsidRPr="000D2BA4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1:2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image,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Truth!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apostles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appointed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especially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resurrection,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lay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doctrinal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faith.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confirmed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miracles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gifts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Spirit.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reached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extent;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perfect.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exhorted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contend,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strive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struggle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9" w:history="1">
        <w:r w:rsidRPr="000D2BA4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1:3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cherish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defend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guard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additions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so-called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“revelations”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traditions.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  <w:b/>
          <w:bCs/>
        </w:rPr>
        <w:t>Inspiration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lastRenderedPageBreak/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prophets,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apostles.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ago?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pleased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(scripture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written).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gone,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doctrine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accessible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writings.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Similarly,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heaven,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still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learn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accounts.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collection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writings.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dual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authorship,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divine.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Isaiah,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guided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violating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personalities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literary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styles,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wanted.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activity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enabled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“inspiration”.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inspiration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God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10" w:history="1">
        <w:r w:rsidRPr="000D2BA4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3:16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phrase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“inspiration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single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“God-breathed”.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“God-breathed”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mouth.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truly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God!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all-knowing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faithful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confidence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inerrancy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free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mistakes)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infallibility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lead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astray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deceive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us).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Moreover,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since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absolute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obliged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obey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heart.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says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says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amount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thing.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higher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higher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authority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considered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generation.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contemporaries,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dead,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read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what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spoken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God?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11" w:history="1">
        <w:r w:rsidRPr="000D2BA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22:31</w:t>
        </w:r>
      </w:hyperlink>
      <w:r w:rsidRPr="000D2BA4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proceeded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quote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Exodus.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centuries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before,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relevant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useful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Moses”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prophet),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but,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you”!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read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today.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inspired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Bible?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sections,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(39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mostly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Hebrew);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(27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Greek).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formation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collection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writings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acknowledged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authoritative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God)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intertwined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committed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12" w:history="1">
        <w:r w:rsidRPr="000D2BA4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3:2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39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correspond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24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proofErr w:type="spellStart"/>
      <w:r w:rsidRPr="000D2BA4">
        <w:rPr>
          <w:rFonts w:eastAsia="Times New Roman"/>
        </w:rPr>
        <w:t>Tanakh</w:t>
      </w:r>
      <w:proofErr w:type="spellEnd"/>
      <w:r w:rsidRPr="000D2BA4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known.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(There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less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0D2BA4">
        <w:rPr>
          <w:rFonts w:eastAsia="Times New Roman"/>
        </w:rPr>
        <w:t>Tanakh</w:t>
      </w:r>
      <w:proofErr w:type="spellEnd"/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canon,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Samuel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Samuel,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Scripture.)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apostolic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aware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adding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13" w:history="1">
        <w:r w:rsidRPr="000D2BA4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3:16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gospels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copied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circulated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churches.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century,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gospels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recognized,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fourth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century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27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universally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accepted.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writings,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confident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preserved.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carefully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copied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handwritten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documents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“manuscripts”).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so,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variations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manuscripts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(caused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mainly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copying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errors),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variations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trivial.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Moreover,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original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accurately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manuscripts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available.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originally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inspired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providentially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guided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acknowledge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canonical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transmit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essentially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intact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generations,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time.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  <w:b/>
          <w:bCs/>
        </w:rPr>
        <w:t>Illumination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Author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illuminates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received,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world,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freely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given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God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14" w:history="1">
        <w:r w:rsidRPr="000D2BA4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2:12</w:t>
        </w:r>
      </w:hyperlink>
      <w:r w:rsidRPr="000D2BA4">
        <w:rPr>
          <w:rFonts w:eastAsia="Times New Roman"/>
        </w:rPr>
        <w:t>).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understood.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philosophers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theologians,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letters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Paul,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James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addressed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ordinary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Christians.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charge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epistle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read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brethren</w:t>
      </w:r>
      <w:r w:rsidRPr="000D2BA4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ordered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concluding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epistles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15" w:history="1">
        <w:r w:rsidRPr="000D2BA4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5:27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read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audience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difficult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understood?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misunderstood.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apostle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warns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hard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understand</w:t>
      </w:r>
      <w:r w:rsidRPr="000D2BA4">
        <w:rPr>
          <w:rFonts w:eastAsia="Times New Roman"/>
        </w:rPr>
        <w:t>”.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“</w:t>
      </w:r>
      <w:r w:rsidRPr="000D2BA4">
        <w:rPr>
          <w:rFonts w:eastAsia="Times New Roman"/>
          <w:i/>
          <w:iCs/>
        </w:rPr>
        <w:t>untaught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unstable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twist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own</w:t>
      </w:r>
      <w:r>
        <w:rPr>
          <w:rFonts w:eastAsia="Times New Roman"/>
          <w:i/>
          <w:iCs/>
        </w:rPr>
        <w:t xml:space="preserve"> </w:t>
      </w:r>
      <w:r w:rsidRPr="000D2BA4">
        <w:rPr>
          <w:rFonts w:eastAsia="Times New Roman"/>
          <w:i/>
          <w:iCs/>
        </w:rPr>
        <w:t>destruction</w:t>
      </w:r>
      <w:r w:rsidRPr="000D2BA4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</w:t>
      </w:r>
      <w:hyperlink r:id="rId16" w:history="1">
        <w:r w:rsidRPr="000D2BA4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2BA4">
          <w:rPr>
            <w:rFonts w:eastAsia="Times New Roman"/>
            <w:color w:val="0062B5"/>
            <w:u w:val="single"/>
          </w:rPr>
          <w:t>3:16</w:t>
        </w:r>
      </w:hyperlink>
      <w:r w:rsidRPr="000D2BA4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discouraging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studying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Scripture;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warns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presumption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carelessness.</w:t>
      </w: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</w:p>
    <w:p w:rsidR="000D2BA4" w:rsidRPr="000D2BA4" w:rsidRDefault="000D2BA4" w:rsidP="000D2BA4">
      <w:pPr>
        <w:shd w:val="clear" w:color="auto" w:fill="FFFFFF"/>
        <w:rPr>
          <w:rFonts w:eastAsia="Times New Roman"/>
        </w:rPr>
      </w:pPr>
      <w:r w:rsidRPr="000D2BA4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written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document,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interpreted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(or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explained)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grammatical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rules,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consideration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context.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merely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academic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exercise;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foremost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moral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endeavor.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attitude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reverence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honesty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essential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rightly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Word.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expect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hear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voice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approach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intent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twisting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meaning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suit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lifestyle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justify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belief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system.</w:t>
      </w:r>
      <w:r>
        <w:rPr>
          <w:rFonts w:eastAsia="Times New Roman"/>
        </w:rPr>
        <w:t xml:space="preserve">  </w:t>
      </w:r>
      <w:r w:rsidRPr="000D2BA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guide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believe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disagreeable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tastes,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obey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bookmarkStart w:id="0" w:name="_GoBack"/>
      <w:bookmarkEnd w:id="0"/>
      <w:r w:rsidRPr="000D2BA4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costs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0D2BA4">
        <w:rPr>
          <w:rFonts w:eastAsia="Times New Roman"/>
        </w:rPr>
        <w:t>lives.</w:t>
      </w:r>
    </w:p>
    <w:sectPr w:rsidR="000D2BA4" w:rsidRPr="000D2BA4" w:rsidSect="00542DD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D2"/>
    <w:rsid w:val="00012927"/>
    <w:rsid w:val="0001641E"/>
    <w:rsid w:val="000D2BA4"/>
    <w:rsid w:val="003614F5"/>
    <w:rsid w:val="003C7B7F"/>
    <w:rsid w:val="00516B37"/>
    <w:rsid w:val="00542DD2"/>
    <w:rsid w:val="0059165D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8737-98F2-4DE7-A607-35405AD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DD2"/>
    <w:rPr>
      <w:color w:val="0000FF"/>
      <w:u w:val="single"/>
    </w:rPr>
  </w:style>
  <w:style w:type="character" w:customStyle="1" w:styleId="introtext1">
    <w:name w:val="introtext1"/>
    <w:basedOn w:val="DefaultParagraphFont"/>
    <w:rsid w:val="00542DD2"/>
  </w:style>
  <w:style w:type="character" w:styleId="Emphasis">
    <w:name w:val="Emphasis"/>
    <w:basedOn w:val="DefaultParagraphFont"/>
    <w:uiPriority w:val="20"/>
    <w:qFormat/>
    <w:rsid w:val="00542DD2"/>
    <w:rPr>
      <w:i/>
      <w:iCs/>
    </w:rPr>
  </w:style>
  <w:style w:type="character" w:styleId="Strong">
    <w:name w:val="Strong"/>
    <w:basedOn w:val="DefaultParagraphFont"/>
    <w:uiPriority w:val="22"/>
    <w:qFormat/>
    <w:rsid w:val="0054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0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71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1.2&amp;t=NKJV" TargetMode="External"/><Relationship Id="rId13" Type="http://schemas.openxmlformats.org/officeDocument/2006/relationships/hyperlink" Target="https://www.blueletterbible.org/search/preSearch.cfm?Criteria=2Peter+3.16&amp;t=NKJ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2Peter+1.21&amp;t=NKJV" TargetMode="External"/><Relationship Id="rId12" Type="http://schemas.openxmlformats.org/officeDocument/2006/relationships/hyperlink" Target="https://www.blueletterbible.org/search/preSearch.cfm?Criteria=Romans+3.2&amp;t=N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2Peter+3.16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omans+1.19&amp;t=NKJV" TargetMode="External"/><Relationship Id="rId11" Type="http://schemas.openxmlformats.org/officeDocument/2006/relationships/hyperlink" Target="https://www.blueletterbible.org/search/preSearch.cfm?Criteria=Matthew+22.31&amp;t=NKJV" TargetMode="External"/><Relationship Id="rId5" Type="http://schemas.openxmlformats.org/officeDocument/2006/relationships/hyperlink" Target="https://www.blueletterbible.org/search/preSearch.cfm?Criteria=1Corinthians+1.21&amp;t=NKJV" TargetMode="External"/><Relationship Id="rId15" Type="http://schemas.openxmlformats.org/officeDocument/2006/relationships/hyperlink" Target="https://www.blueletterbible.org/search/preSearch.cfm?Criteria=1Thessalonians+5.27&amp;t=NKJV" TargetMode="External"/><Relationship Id="rId10" Type="http://schemas.openxmlformats.org/officeDocument/2006/relationships/hyperlink" Target="https://www.blueletterbible.org/search/preSearch.cfm?Criteria=2Timothy+3.16&amp;t=NKJV" TargetMode="External"/><Relationship Id="rId4" Type="http://schemas.openxmlformats.org/officeDocument/2006/relationships/hyperlink" Target="http://www.bibleone.net/tbs.htm" TargetMode="External"/><Relationship Id="rId9" Type="http://schemas.openxmlformats.org/officeDocument/2006/relationships/hyperlink" Target="https://www.blueletterbible.org/search/preSearch.cfm?Criteria=Jude+1.3&amp;t=NKJV" TargetMode="External"/><Relationship Id="rId14" Type="http://schemas.openxmlformats.org/officeDocument/2006/relationships/hyperlink" Target="https://www.blueletterbible.org/search/preSearch.cfm?Criteria=1Corinthians+2.1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2021-07-07T13:48:00Z</dcterms:created>
  <dcterms:modified xsi:type="dcterms:W3CDTF">2021-07-07T16:35:00Z</dcterms:modified>
</cp:coreProperties>
</file>