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E4" w:rsidRDefault="001837E4" w:rsidP="001837E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lake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fire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prepared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devil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angels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following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their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sin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(which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had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regality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seeking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exalt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throne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[</w:t>
      </w:r>
      <w:hyperlink r:id="rId4" w:history="1">
        <w:r w:rsidRPr="001837E4">
          <w:rPr>
            <w:rFonts w:eastAsia="Times New Roman"/>
            <w:b/>
            <w:bCs/>
            <w:color w:val="0062B5"/>
            <w:u w:val="single"/>
          </w:rPr>
          <w:t>Isaiah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837E4">
          <w:rPr>
            <w:rFonts w:eastAsia="Times New Roman"/>
            <w:b/>
            <w:bCs/>
            <w:color w:val="0062B5"/>
            <w:u w:val="single"/>
          </w:rPr>
          <w:t>14:13-15</w:t>
        </w:r>
      </w:hyperlink>
      <w:r w:rsidRPr="001837E4">
        <w:rPr>
          <w:rFonts w:eastAsia="Times New Roman"/>
          <w:b/>
          <w:bCs/>
          <w:color w:val="222222"/>
        </w:rPr>
        <w:t>]),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also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reserved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place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rejecting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very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reason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man’s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(which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had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regality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well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[</w:t>
      </w:r>
      <w:hyperlink r:id="rId5" w:history="1">
        <w:r w:rsidRPr="001837E4">
          <w:rPr>
            <w:rFonts w:eastAsia="Times New Roman"/>
            <w:b/>
            <w:bCs/>
            <w:color w:val="0062B5"/>
            <w:u w:val="single"/>
          </w:rPr>
          <w:t>Genesis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837E4">
          <w:rPr>
            <w:rFonts w:eastAsia="Times New Roman"/>
            <w:b/>
            <w:bCs/>
            <w:color w:val="0062B5"/>
            <w:u w:val="single"/>
          </w:rPr>
          <w:t>1:26-28</w:t>
        </w:r>
      </w:hyperlink>
      <w:r w:rsidRPr="001837E4">
        <w:rPr>
          <w:rFonts w:eastAsia="Times New Roman"/>
          <w:b/>
          <w:bCs/>
          <w:color w:val="222222"/>
        </w:rPr>
        <w:t>])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ultimately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find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themselves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non-overcoming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first,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unsaved.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837E4">
        <w:rPr>
          <w:rFonts w:eastAsia="Times New Roman"/>
          <w:b/>
          <w:bCs/>
          <w:color w:val="222222"/>
        </w:rPr>
        <w:t>There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simply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no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such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companies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saved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unsaved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individuals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judged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together,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time.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1837E4">
        <w:rPr>
          <w:rFonts w:eastAsia="Times New Roman"/>
          <w:b/>
          <w:color w:val="222222"/>
          <w:sz w:val="32"/>
          <w:szCs w:val="32"/>
        </w:rPr>
        <w:t>Hurt By the Second Death</w:t>
      </w:r>
      <w:r>
        <w:rPr>
          <w:rFonts w:eastAsia="Times New Roman"/>
          <w:b/>
          <w:color w:val="222222"/>
          <w:sz w:val="32"/>
          <w:szCs w:val="32"/>
        </w:rPr>
        <w:t>,</w:t>
      </w:r>
      <w:r w:rsidRPr="001837E4">
        <w:rPr>
          <w:rFonts w:eastAsia="Times New Roman"/>
          <w:b/>
          <w:color w:val="222222"/>
          <w:sz w:val="32"/>
          <w:szCs w:val="32"/>
        </w:rPr>
        <w:t xml:space="preserve"> </w:t>
      </w:r>
      <w:r w:rsidR="00F028DE">
        <w:rPr>
          <w:rFonts w:eastAsia="Times New Roman"/>
          <w:b/>
          <w:color w:val="222222"/>
          <w:sz w:val="32"/>
          <w:szCs w:val="32"/>
        </w:rPr>
        <w:t>plus</w:t>
      </w:r>
      <w:r w:rsidRPr="001837E4">
        <w:rPr>
          <w:rFonts w:eastAsia="Times New Roman"/>
          <w:b/>
          <w:color w:val="222222"/>
          <w:sz w:val="32"/>
          <w:szCs w:val="32"/>
        </w:rPr>
        <w:t xml:space="preserve"> Sheep and Goats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="00F028DE">
        <w:rPr>
          <w:rFonts w:eastAsia="Times New Roman"/>
          <w:b/>
          <w:color w:val="222222"/>
          <w:sz w:val="32"/>
          <w:szCs w:val="32"/>
        </w:rPr>
        <w:t>Metaphors</w:t>
      </w:r>
      <w:bookmarkEnd w:id="0"/>
      <w:r w:rsidRPr="001837E4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1837E4">
        <w:rPr>
          <w:rFonts w:eastAsia="Times New Roman"/>
          <w:b/>
          <w:bCs/>
          <w:color w:val="222222"/>
        </w:rPr>
        <w:t>By</w:t>
      </w:r>
      <w:proofErr w:type="gramEnd"/>
      <w:r w:rsidRPr="001837E4">
        <w:rPr>
          <w:rFonts w:eastAsia="Times New Roman"/>
          <w:b/>
          <w:bCs/>
          <w:color w:val="222222"/>
        </w:rPr>
        <w:t xml:space="preserve"> Arlen Chitwood of </w:t>
      </w:r>
      <w:hyperlink r:id="rId6" w:history="1">
        <w:r w:rsidRPr="001837E4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“to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by”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2:11</w:t>
        </w:r>
      </w:hyperlink>
      <w:r w:rsidRPr="001837E4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20:4-6</w:t>
        </w:r>
      </w:hyperlink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1837E4">
          <w:rPr>
            <w:rFonts w:eastAsia="Times New Roman"/>
            <w:color w:val="0062B5"/>
            <w:u w:val="single"/>
          </w:rPr>
          <w:t>21:7-8</w:t>
        </w:r>
      </w:hyperlink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overcome,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thing: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Non-overcoming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brimstone: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death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hyperlink r:id="rId10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21:8b</w:t>
        </w:r>
      </w:hyperlink>
      <w:r w:rsidRPr="001837E4">
        <w:rPr>
          <w:rFonts w:eastAsia="Times New Roman"/>
          <w:color w:val="222222"/>
        </w:rPr>
        <w:t>).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“Fire”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unsaved</w:t>
      </w:r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non-overcoming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“hurt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death,”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 w:rsidRPr="001837E4">
        <w:rPr>
          <w:rFonts w:eastAsia="Times New Roman"/>
          <w:color w:val="222222"/>
        </w:rPr>
        <w:t>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brimstones</w:t>
      </w:r>
      <w:r w:rsidRPr="001837E4">
        <w:rPr>
          <w:rFonts w:eastAsia="Times New Roman"/>
          <w:color w:val="222222"/>
        </w:rPr>
        <w:t>.”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overcome,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events.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20:11-15</w:t>
        </w:r>
      </w:hyperlink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decisions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determinations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</w:t>
      </w:r>
      <w:r w:rsidRPr="001837E4">
        <w:rPr>
          <w:rFonts w:eastAsia="Times New Roman"/>
          <w:color w:val="222222"/>
        </w:rPr>
        <w:t>.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decisions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determinations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view.)</w:t>
      </w: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empty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empty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inhabit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Non-overcoming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brimstone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therein.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non-overcoming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scene,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1837E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10</w:t>
        </w:r>
      </w:hyperlink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guilty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“willful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sin”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hyperlink r:id="rId13" w:history="1">
        <w:r w:rsidRPr="001837E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10:26</w:t>
        </w:r>
      </w:hyperlink>
      <w:r w:rsidRPr="001837E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r w:rsidRPr="001837E4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1837E4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Judgment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Seat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Christ,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3</w:t>
        </w:r>
      </w:hyperlink>
      <w:r w:rsidRPr="001837E4">
        <w:rPr>
          <w:rFonts w:eastAsia="Times New Roman"/>
          <w:color w:val="222222"/>
        </w:rPr>
        <w:t>):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1837E4">
        <w:rPr>
          <w:rFonts w:eastAsia="Times New Roman"/>
          <w:i/>
          <w:iCs/>
          <w:color w:val="222222"/>
        </w:rPr>
        <w:t>but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fearful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expectation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judgment,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fiery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indignation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devour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adversaries.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hyperlink r:id="rId15" w:history="1">
        <w:r w:rsidRPr="001837E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10:27</w:t>
        </w:r>
      </w:hyperlink>
      <w:r w:rsidRPr="001837E4">
        <w:rPr>
          <w:rFonts w:eastAsia="Times New Roman"/>
          <w:color w:val="222222"/>
        </w:rPr>
        <w:t>)</w:t>
      </w: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brimstone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himself.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devil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hyperlink r:id="rId16" w:history="1">
        <w:r w:rsidRPr="001837E4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14:13-15</w:t>
        </w:r>
      </w:hyperlink>
      <w:r w:rsidRPr="001837E4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hyperlink r:id="rId17" w:history="1">
        <w:r w:rsidRPr="001837E4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1:26-28</w:t>
        </w:r>
      </w:hyperlink>
      <w:r w:rsidRPr="001837E4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non-overcoming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unsaved).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devil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angels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respect),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ignoring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(whether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millennial</w:t>
      </w:r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eternal</w:t>
      </w:r>
      <w:r w:rsidRPr="001837E4">
        <w:rPr>
          <w:rFonts w:eastAsia="Times New Roman"/>
          <w:color w:val="222222"/>
        </w:rPr>
        <w:t>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(Added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fire: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below,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1].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true.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indication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below,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2].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expressing</w:t>
      </w:r>
      <w:r>
        <w:rPr>
          <w:rFonts w:eastAsia="Times New Roman"/>
          <w:color w:val="222222"/>
        </w:rPr>
        <w:t xml:space="preserve">   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Gehenna,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sense),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throughout.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1837E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literal,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metaphorical.)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8" w:anchor="The%20Second%20Death" w:history="1">
        <w:r w:rsidRPr="001837E4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Second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Death</w:t>
        </w:r>
      </w:hyperlink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commentary.</w:t>
      </w: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</w:t>
      </w:r>
      <w:r w:rsidRPr="001837E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(saved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unsaved)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determine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damnation.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enters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resurrected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(whether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individuals)]”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hyperlink r:id="rId19" w:history="1">
        <w:r w:rsidRPr="001837E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15:23</w:t>
        </w:r>
      </w:hyperlink>
      <w:r w:rsidRPr="001837E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resurrected.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companies,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resurrections,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settled,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companies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lastRenderedPageBreak/>
        <w:t>All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r w:rsidRPr="001837E4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16:27</w:t>
        </w:r>
      </w:hyperlink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1837E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3:12-15</w:t>
        </w:r>
      </w:hyperlink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20:11-15</w:t>
        </w:r>
      </w:hyperlink>
      <w:r w:rsidRPr="001837E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damnation.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abides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damnation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scrutiny,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judgments.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determined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occurs.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judgments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r w:rsidRPr="001837E4">
        <w:rPr>
          <w:rFonts w:eastAsia="Times New Roman"/>
          <w:i/>
          <w:iCs/>
          <w:color w:val="222222"/>
        </w:rPr>
        <w:t>e.g.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hyperlink r:id="rId23" w:history="1">
        <w:r w:rsidRPr="001837E4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20:33-38</w:t>
        </w:r>
      </w:hyperlink>
      <w:r w:rsidRPr="001837E4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martyrs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hyperlink r:id="rId24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20:4-6</w:t>
        </w:r>
      </w:hyperlink>
      <w:r w:rsidRPr="001837E4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survive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hyperlink r:id="rId25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25:31-46</w:t>
        </w:r>
      </w:hyperlink>
      <w:r w:rsidRPr="001837E4">
        <w:rPr>
          <w:rFonts w:eastAsia="Times New Roman"/>
          <w:color w:val="222222"/>
        </w:rPr>
        <w:t>]).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orderly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fashions.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company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b/>
          <w:bCs/>
          <w:color w:val="222222"/>
        </w:rPr>
        <w:t>Sheep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Goats</w:t>
      </w:r>
      <w:r>
        <w:rPr>
          <w:rFonts w:eastAsia="Times New Roman"/>
          <w:b/>
          <w:bCs/>
          <w:color w:val="222222"/>
        </w:rPr>
        <w:t xml:space="preserve"> </w:t>
      </w:r>
      <w:r w:rsidRPr="001837E4">
        <w:rPr>
          <w:rFonts w:eastAsia="Times New Roman"/>
          <w:b/>
          <w:bCs/>
          <w:color w:val="222222"/>
        </w:rPr>
        <w:t>Judgment</w:t>
      </w: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25:31-46</w:t>
        </w:r>
      </w:hyperlink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categories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“sheep”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“goats”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goats</w:t>
      </w:r>
      <w:r w:rsidRPr="001837E4">
        <w:rPr>
          <w:rFonts w:eastAsia="Times New Roman"/>
          <w:color w:val="222222"/>
        </w:rPr>
        <w:t>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 w:rsidRPr="001837E4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goats</w:t>
      </w:r>
      <w:r w:rsidRPr="001837E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told,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Depart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cursed,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[age-lasting]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fire,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devil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angels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</w:t>
      </w:r>
      <w:hyperlink r:id="rId27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25:34</w:t>
        </w:r>
      </w:hyperlink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1837E4">
          <w:rPr>
            <w:rFonts w:eastAsia="Times New Roman"/>
            <w:color w:val="0062B5"/>
            <w:u w:val="single"/>
          </w:rPr>
          <w:t>41</w:t>
        </w:r>
      </w:hyperlink>
      <w:r w:rsidRPr="001837E4">
        <w:rPr>
          <w:rFonts w:eastAsia="Times New Roman"/>
          <w:color w:val="222222"/>
        </w:rPr>
        <w:t>).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goats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metaphors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antithetical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sense;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inheriting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departing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(age-lasting)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goats,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destinies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each,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antithetical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verities.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Christ</w:t>
      </w:r>
      <w:r w:rsidRPr="001837E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throughout.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“sheep,”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 w:rsidRPr="001837E4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“goats,”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</w:t>
      </w:r>
      <w:r w:rsidRPr="001837E4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[age-lasting]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 w:rsidRPr="001837E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verities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view.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“everlasting”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25:41</w:t>
        </w:r>
      </w:hyperlink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aionios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adjective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derive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aeon</w:t>
      </w:r>
      <w:r w:rsidRPr="001837E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adjective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“eternal.”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age.”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“eternal”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matter].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express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“eternal,”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considerations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r w:rsidRPr="001837E4">
        <w:rPr>
          <w:rFonts w:eastAsia="Times New Roman"/>
          <w:i/>
          <w:iCs/>
          <w:color w:val="222222"/>
        </w:rPr>
        <w:t>e.g.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aionios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deity],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plural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 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r w:rsidRPr="001837E4">
        <w:rPr>
          <w:rFonts w:eastAsia="Times New Roman"/>
          <w:i/>
          <w:iCs/>
          <w:color w:val="222222"/>
        </w:rPr>
        <w:t>e.g.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1837E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13:8</w:t>
        </w:r>
      </w:hyperlink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“ages”]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double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aion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articular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r w:rsidRPr="001837E4">
        <w:rPr>
          <w:rFonts w:eastAsia="Times New Roman"/>
          <w:i/>
          <w:iCs/>
          <w:color w:val="222222"/>
        </w:rPr>
        <w:t>e.g.</w:t>
      </w:r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1837E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1:6</w:t>
        </w:r>
      </w:hyperlink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ages”].)</w:t>
      </w: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25:31-46</w:t>
        </w:r>
      </w:hyperlink>
      <w:r w:rsidRPr="001837E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works</w:t>
      </w:r>
      <w:r w:rsidRPr="001837E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outcome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two-fold: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1837E4">
        <w:rPr>
          <w:rFonts w:eastAsia="Times New Roman"/>
          <w:color w:val="222222"/>
        </w:rPr>
        <w:t>realizing</w:t>
      </w:r>
      <w:proofErr w:type="gramEnd"/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1837E4">
        <w:rPr>
          <w:rFonts w:eastAsia="Times New Roman"/>
          <w:color w:val="222222"/>
        </w:rPr>
        <w:t>having</w:t>
      </w:r>
      <w:proofErr w:type="gramEnd"/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837E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other.</w:t>
      </w: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</w:p>
    <w:p w:rsidR="001837E4" w:rsidRPr="001837E4" w:rsidRDefault="001837E4" w:rsidP="001837E4">
      <w:pPr>
        <w:shd w:val="clear" w:color="auto" w:fill="FFFFFF"/>
        <w:ind w:left="600"/>
        <w:rPr>
          <w:rFonts w:eastAsia="Times New Roman"/>
          <w:color w:val="222222"/>
        </w:rPr>
      </w:pPr>
      <w:r w:rsidRPr="001837E4">
        <w:rPr>
          <w:rFonts w:eastAsia="Times New Roman"/>
          <w:color w:val="222222"/>
        </w:rPr>
        <w:t>(Exactly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net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1837E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837E4">
          <w:rPr>
            <w:rFonts w:eastAsia="Times New Roman"/>
            <w:color w:val="0062B5"/>
            <w:u w:val="single"/>
          </w:rPr>
          <w:t>13:47-50</w:t>
        </w:r>
      </w:hyperlink>
      <w:r w:rsidRPr="001837E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[</w:t>
      </w:r>
      <w:r w:rsidRPr="001837E4">
        <w:rPr>
          <w:rFonts w:eastAsia="Times New Roman"/>
          <w:i/>
          <w:iCs/>
          <w:color w:val="222222"/>
        </w:rPr>
        <w:t>ref</w:t>
      </w:r>
      <w:r w:rsidRPr="001837E4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Appendix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1837E4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Judgment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Seat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Christ,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Appendix</w:t>
        </w:r>
      </w:hyperlink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837E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1837E4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Mysteries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Kingdom,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837E4">
          <w:rPr>
            <w:rFonts w:eastAsia="Times New Roman"/>
            <w:color w:val="2F5597"/>
            <w:u w:val="single"/>
          </w:rPr>
          <w:t>12</w:t>
        </w:r>
      </w:hyperlink>
      <w:r w:rsidRPr="001837E4">
        <w:rPr>
          <w:rFonts w:eastAsia="Times New Roman"/>
          <w:color w:val="222222"/>
        </w:rPr>
        <w:t>].)</w:t>
      </w:r>
    </w:p>
    <w:p w:rsidR="001837E4" w:rsidRPr="001837E4" w:rsidRDefault="001837E4" w:rsidP="001837E4">
      <w:pPr>
        <w:shd w:val="clear" w:color="auto" w:fill="FFFFFF"/>
        <w:ind w:left="0"/>
        <w:rPr>
          <w:rFonts w:eastAsia="Times New Roman"/>
          <w:color w:val="222222"/>
        </w:rPr>
      </w:pPr>
    </w:p>
    <w:p w:rsidR="00B51BB6" w:rsidRPr="001837E4" w:rsidRDefault="001837E4" w:rsidP="001837E4">
      <w:pPr>
        <w:ind w:left="0"/>
      </w:pPr>
      <w:hyperlink r:id="rId36" w:history="1"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Bible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One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-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Arlen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Chitwood's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Judgment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Seat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of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Christ,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Sheep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and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Goats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are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Metaphors,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Ch.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1837E4">
          <w:rPr>
            <w:rFonts w:eastAsia="Times New Roman"/>
            <w:color w:val="0062B5"/>
            <w:u w:val="single"/>
            <w:shd w:val="clear" w:color="auto" w:fill="FFFFFF"/>
          </w:rPr>
          <w:t>6</w:t>
        </w:r>
      </w:hyperlink>
    </w:p>
    <w:sectPr w:rsidR="00B51BB6" w:rsidRPr="001837E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4"/>
    <w:rsid w:val="001837E4"/>
    <w:rsid w:val="00334B7F"/>
    <w:rsid w:val="00774C51"/>
    <w:rsid w:val="00B51BB6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1BA17-B3E5-4595-8165-1251FEC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7E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1837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37E4"/>
    <w:rPr>
      <w:b/>
      <w:bCs/>
    </w:rPr>
  </w:style>
  <w:style w:type="character" w:styleId="Emphasis">
    <w:name w:val="Emphasis"/>
    <w:basedOn w:val="DefaultParagraphFont"/>
    <w:uiPriority w:val="20"/>
    <w:qFormat/>
    <w:rsid w:val="00183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9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6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3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1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8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20.4-6&amp;t=NKJV" TargetMode="External"/><Relationship Id="rId13" Type="http://schemas.openxmlformats.org/officeDocument/2006/relationships/hyperlink" Target="https://www.blueletterbible.org/search/preSearch.cfm?Criteria=Hebrews+10.26&amp;t=NKJV" TargetMode="External"/><Relationship Id="rId18" Type="http://schemas.openxmlformats.org/officeDocument/2006/relationships/hyperlink" Target="https://www.koffeekupkandor.com/gods-word-three.php" TargetMode="External"/><Relationship Id="rId26" Type="http://schemas.openxmlformats.org/officeDocument/2006/relationships/hyperlink" Target="https://www.blueletterbible.org/search/preSearch.cfm?Criteria=Matthew+25.31-46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Corinthians+3.12-15&amp;t=NKJV" TargetMode="External"/><Relationship Id="rId34" Type="http://schemas.openxmlformats.org/officeDocument/2006/relationships/hyperlink" Target="http://bibleone.net/JSC_A.htm" TargetMode="External"/><Relationship Id="rId7" Type="http://schemas.openxmlformats.org/officeDocument/2006/relationships/hyperlink" Target="https://www.blueletterbible.org/search/preSearch.cfm?Criteria=Revelation+2.11&amp;t=NKJV" TargetMode="External"/><Relationship Id="rId12" Type="http://schemas.openxmlformats.org/officeDocument/2006/relationships/hyperlink" Target="https://www.blueletterbible.org/search/preSearch.cfm?Criteria=Hebrews+10&amp;t=NKJV" TargetMode="External"/><Relationship Id="rId17" Type="http://schemas.openxmlformats.org/officeDocument/2006/relationships/hyperlink" Target="https://www.blueletterbible.org/search/preSearch.cfm?Criteria=Genesis+1.26-28&amp;t=NKJV" TargetMode="External"/><Relationship Id="rId25" Type="http://schemas.openxmlformats.org/officeDocument/2006/relationships/hyperlink" Target="https://www.blueletterbible.org/search/preSearch.cfm?Criteria=Matthew+25.31-46&amp;t=NKJV" TargetMode="External"/><Relationship Id="rId33" Type="http://schemas.openxmlformats.org/officeDocument/2006/relationships/hyperlink" Target="https://www.blueletterbible.org/search/preSearch.cfm?Criteria=Matthew+13.47-50&amp;t=NKJV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saiah+14.13-15&amp;t=NKJV" TargetMode="External"/><Relationship Id="rId20" Type="http://schemas.openxmlformats.org/officeDocument/2006/relationships/hyperlink" Target="https://www.blueletterbible.org/search/preSearch.cfm?Criteria=Matthew+16.27&amp;t=NKJV" TargetMode="External"/><Relationship Id="rId29" Type="http://schemas.openxmlformats.org/officeDocument/2006/relationships/hyperlink" Target="https://www.blueletterbible.org/search/preSearch.cfm?Criteria=Matthew+25.4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Revelation+20.11-15&amp;t=NKJV" TargetMode="External"/><Relationship Id="rId24" Type="http://schemas.openxmlformats.org/officeDocument/2006/relationships/hyperlink" Target="https://www.blueletterbible.org/search/preSearch.cfm?Criteria=Revelation+20.4-6&amp;t=NKJV" TargetMode="External"/><Relationship Id="rId32" Type="http://schemas.openxmlformats.org/officeDocument/2006/relationships/hyperlink" Target="https://www.blueletterbible.org/search/preSearch.cfm?Criteria=Matthew+25.31-46&amp;t=NKJV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Genesis+1.26-28&amp;t=NKJV" TargetMode="External"/><Relationship Id="rId15" Type="http://schemas.openxmlformats.org/officeDocument/2006/relationships/hyperlink" Target="https://www.blueletterbible.org/search/preSearch.cfm?Criteria=Hebrews+10.27&amp;t=NKJV" TargetMode="External"/><Relationship Id="rId23" Type="http://schemas.openxmlformats.org/officeDocument/2006/relationships/hyperlink" Target="https://www.blueletterbible.org/search/preSearch.cfm?Criteria=Ezekiel+20.33-38&amp;t=NKJV" TargetMode="External"/><Relationship Id="rId28" Type="http://schemas.openxmlformats.org/officeDocument/2006/relationships/hyperlink" Target="https://www.blueletterbible.org/search/preSearch.cfm?Criteria=Matthew+25.41&amp;t=NKJV" TargetMode="External"/><Relationship Id="rId36" Type="http://schemas.openxmlformats.org/officeDocument/2006/relationships/hyperlink" Target="http://bibleone.net/JSC06.htm" TargetMode="External"/><Relationship Id="rId10" Type="http://schemas.openxmlformats.org/officeDocument/2006/relationships/hyperlink" Target="https://www.blueletterbible.org/search/preSearch.cfm?Criteria=Revelation+21.8b&amp;t=NKJV" TargetMode="External"/><Relationship Id="rId19" Type="http://schemas.openxmlformats.org/officeDocument/2006/relationships/hyperlink" Target="https://www.blueletterbible.org/search/preSearch.cfm?Criteria=1Corinthians+15.23&amp;t=NKJV" TargetMode="External"/><Relationship Id="rId31" Type="http://schemas.openxmlformats.org/officeDocument/2006/relationships/hyperlink" Target="https://www.blueletterbible.org/search/preSearch.cfm?Criteria=Revelation+1.6&amp;t=NKJV" TargetMode="External"/><Relationship Id="rId4" Type="http://schemas.openxmlformats.org/officeDocument/2006/relationships/hyperlink" Target="https://www.blueletterbible.org/search/preSearch.cfm?Criteria=Isaiah+14.13-15&amp;t=NKJV" TargetMode="External"/><Relationship Id="rId9" Type="http://schemas.openxmlformats.org/officeDocument/2006/relationships/hyperlink" Target="https://www.blueletterbible.org/search/preSearch.cfm?Criteria=Revelation+21.7-8&amp;t=NKJV" TargetMode="External"/><Relationship Id="rId14" Type="http://schemas.openxmlformats.org/officeDocument/2006/relationships/hyperlink" Target="http://bibleone.net/JSC03.htm" TargetMode="External"/><Relationship Id="rId22" Type="http://schemas.openxmlformats.org/officeDocument/2006/relationships/hyperlink" Target="https://www.blueletterbible.org/search/preSearch.cfm?Criteria=Revelation+20.11-15&amp;t=NKJV" TargetMode="External"/><Relationship Id="rId27" Type="http://schemas.openxmlformats.org/officeDocument/2006/relationships/hyperlink" Target="https://www.blueletterbible.org/search/preSearch.cfm?Criteria=Matthew+25.34&amp;t=NKJV" TargetMode="External"/><Relationship Id="rId30" Type="http://schemas.openxmlformats.org/officeDocument/2006/relationships/hyperlink" Target="https://www.blueletterbible.org/search/preSearch.cfm?Criteria=Hebrews+13.8&amp;t=NKJV" TargetMode="External"/><Relationship Id="rId35" Type="http://schemas.openxmlformats.org/officeDocument/2006/relationships/hyperlink" Target="http://bibleone.net/MK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2020-09-13T15:00:00Z</dcterms:created>
  <dcterms:modified xsi:type="dcterms:W3CDTF">2020-09-13T15:29:00Z</dcterms:modified>
</cp:coreProperties>
</file>