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ascii="Arial Black" w:eastAsia="Times New Roman" w:hAnsi="Arial Black"/>
          <w:sz w:val="36"/>
          <w:szCs w:val="36"/>
        </w:rPr>
        <w:t>O.T.</w:t>
      </w:r>
      <w:r w:rsidR="005A4CED">
        <w:rPr>
          <w:rFonts w:ascii="Arial Black" w:eastAsia="Times New Roman" w:hAnsi="Arial Black"/>
          <w:sz w:val="36"/>
          <w:szCs w:val="36"/>
        </w:rPr>
        <w:t xml:space="preserve"> </w:t>
      </w:r>
      <w:r w:rsidRPr="00F725B3">
        <w:rPr>
          <w:rFonts w:ascii="Arial Black" w:eastAsia="Times New Roman" w:hAnsi="Arial Black"/>
          <w:sz w:val="36"/>
          <w:szCs w:val="36"/>
        </w:rPr>
        <w:t>Subject</w:t>
      </w:r>
      <w:r w:rsidR="005A4CED">
        <w:rPr>
          <w:rFonts w:ascii="Arial Black" w:eastAsia="Times New Roman" w:hAnsi="Arial Black"/>
          <w:sz w:val="36"/>
          <w:szCs w:val="36"/>
        </w:rPr>
        <w:t xml:space="preserve"> </w:t>
      </w:r>
      <w:r w:rsidRPr="00F725B3">
        <w:rPr>
          <w:rFonts w:ascii="Arial Black" w:eastAsia="Times New Roman" w:hAnsi="Arial Black"/>
          <w:sz w:val="36"/>
          <w:szCs w:val="36"/>
        </w:rPr>
        <w:t>and</w:t>
      </w:r>
      <w:r w:rsidR="005A4CED">
        <w:rPr>
          <w:rFonts w:ascii="Arial Black" w:eastAsia="Times New Roman" w:hAnsi="Arial Black"/>
          <w:sz w:val="36"/>
          <w:szCs w:val="36"/>
        </w:rPr>
        <w:t xml:space="preserve"> </w:t>
      </w:r>
      <w:r w:rsidRPr="00F725B3">
        <w:rPr>
          <w:rFonts w:ascii="Arial Black" w:eastAsia="Times New Roman" w:hAnsi="Arial Black"/>
          <w:sz w:val="36"/>
          <w:szCs w:val="36"/>
        </w:rPr>
        <w:t>Structure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b/>
          <w:bCs/>
          <w:i/>
          <w:iCs/>
        </w:rPr>
        <w:t>The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End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Opened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Up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&amp;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Revealed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from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the</w:t>
      </w:r>
      <w:r w:rsidR="005A4CED">
        <w:rPr>
          <w:rFonts w:eastAsia="Times New Roman"/>
          <w:b/>
          <w:bCs/>
          <w:i/>
          <w:iCs/>
        </w:rPr>
        <w:t xml:space="preserve"> </w:t>
      </w:r>
      <w:r w:rsidRPr="00F725B3">
        <w:rPr>
          <w:rFonts w:eastAsia="Times New Roman"/>
          <w:b/>
          <w:bCs/>
          <w:i/>
          <w:iCs/>
        </w:rPr>
        <w:t>Beginning</w:t>
      </w:r>
    </w:p>
    <w:p w:rsid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b/>
          <w:bCs/>
        </w:rPr>
        <w:t>By</w:t>
      </w:r>
      <w:r w:rsidR="005A4CED">
        <w:rPr>
          <w:rFonts w:eastAsia="Times New Roman"/>
          <w:b/>
          <w:bCs/>
        </w:rPr>
        <w:t xml:space="preserve"> </w:t>
      </w:r>
      <w:r w:rsidRPr="00F725B3">
        <w:rPr>
          <w:rFonts w:eastAsia="Times New Roman"/>
          <w:b/>
          <w:bCs/>
        </w:rPr>
        <w:t>Arlen</w:t>
      </w:r>
      <w:r w:rsidR="005A4CED">
        <w:rPr>
          <w:rFonts w:eastAsia="Times New Roman"/>
          <w:b/>
          <w:bCs/>
        </w:rPr>
        <w:t xml:space="preserve"> </w:t>
      </w:r>
      <w:r w:rsidRPr="00F725B3">
        <w:rPr>
          <w:rFonts w:eastAsia="Times New Roman"/>
          <w:b/>
          <w:bCs/>
        </w:rPr>
        <w:t>Chitwood</w:t>
      </w:r>
      <w:r w:rsidR="005A4CED">
        <w:rPr>
          <w:rFonts w:eastAsia="Times New Roman"/>
          <w:b/>
          <w:bCs/>
        </w:rPr>
        <w:t xml:space="preserve"> </w:t>
      </w:r>
      <w:r w:rsidRPr="00F725B3">
        <w:rPr>
          <w:rFonts w:eastAsia="Times New Roman"/>
          <w:b/>
          <w:bCs/>
        </w:rPr>
        <w:t>of</w:t>
      </w:r>
      <w:r w:rsidR="005A4CED">
        <w:rPr>
          <w:rFonts w:eastAsia="Times New Roman"/>
        </w:rPr>
        <w:t xml:space="preserve"> </w:t>
      </w:r>
      <w:hyperlink r:id="rId4" w:history="1">
        <w:r w:rsidRPr="00F725B3">
          <w:rPr>
            <w:rFonts w:ascii="Arial Black" w:eastAsia="Times New Roman" w:hAnsi="Arial Black"/>
            <w:color w:val="2F5496"/>
            <w:u w:val="single"/>
          </w:rPr>
          <w:t>Lamp</w:t>
        </w:r>
        <w:r w:rsidR="005A4CED">
          <w:rPr>
            <w:rFonts w:ascii="Arial Black" w:eastAsia="Times New Roman" w:hAnsi="Arial Black"/>
            <w:color w:val="2F5496"/>
            <w:u w:val="single"/>
          </w:rPr>
          <w:t xml:space="preserve"> </w:t>
        </w:r>
        <w:r w:rsidRPr="00F725B3">
          <w:rPr>
            <w:rFonts w:ascii="Arial Black" w:eastAsia="Times New Roman" w:hAnsi="Arial Black"/>
            <w:color w:val="2F5496"/>
            <w:u w:val="single"/>
          </w:rPr>
          <w:t>Broadcast</w:t>
        </w:r>
      </w:hyperlink>
    </w:p>
    <w:p w:rsidR="00336C7A" w:rsidRPr="00F725B3" w:rsidRDefault="00336C7A" w:rsidP="00F725B3">
      <w:pPr>
        <w:shd w:val="clear" w:color="auto" w:fill="FFFFFF"/>
        <w:rPr>
          <w:rFonts w:eastAsia="Times New Roman"/>
          <w:b/>
          <w:color w:val="2F5496" w:themeColor="accent5" w:themeShade="BF"/>
          <w:sz w:val="18"/>
          <w:szCs w:val="18"/>
        </w:rPr>
      </w:pPr>
      <w:r w:rsidRPr="00336C7A">
        <w:rPr>
          <w:rFonts w:eastAsia="Times New Roman"/>
          <w:b/>
          <w:color w:val="2F5496" w:themeColor="accent5" w:themeShade="BF"/>
          <w:sz w:val="18"/>
          <w:szCs w:val="18"/>
        </w:rPr>
        <w:t>~~~~~~~~~~~~~~~~~~~~~~~~~~~~~~~~~~~~~~~~~~~~~~~~~~~~~~~~~~~~~~~~~~~~~~~~~~~~~~~~~~~~~~~~~~~~~~~~~~~~~~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divided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three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Genesis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through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Esther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color w:val="000000"/>
        </w:rPr>
        <w:t>(historic),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Job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through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Song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Solomon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(personal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experiential),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Isaiah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through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Malachi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color w:val="000000"/>
        </w:rPr>
        <w:t>(prophetic).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b/>
          <w:bCs/>
          <w:color w:val="000000"/>
        </w:rPr>
        <w:t>First</w:t>
      </w:r>
      <w:r w:rsidR="005A4CED">
        <w:rPr>
          <w:rFonts w:eastAsia="Times New Roman"/>
          <w:b/>
          <w:bCs/>
          <w:color w:val="000000"/>
        </w:rPr>
        <w:t xml:space="preserve"> </w:t>
      </w:r>
      <w:r w:rsidRPr="00F725B3">
        <w:rPr>
          <w:rFonts w:eastAsia="Times New Roman"/>
          <w:b/>
          <w:bCs/>
          <w:color w:val="000000"/>
        </w:rPr>
        <w:t>Section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Insofar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much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nature)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three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concerned,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having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outlines,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succinct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fashion,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whole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(particularly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beginning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hyperlink r:id="rId5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11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</w:t>
      </w:r>
      <w:r w:rsidR="005A4CED">
        <w:rPr>
          <w:rFonts w:eastAsia="Times New Roman"/>
          <w:color w:val="000000"/>
        </w:rPr>
        <w:t xml:space="preserve"> </w:t>
      </w:r>
      <w:proofErr w:type="spellStart"/>
      <w:r w:rsidRPr="00F725B3">
        <w:rPr>
          <w:rFonts w:eastAsia="Times New Roman"/>
          <w:color w:val="000000"/>
        </w:rPr>
        <w:t>ff</w:t>
      </w:r>
      <w:proofErr w:type="spellEnd"/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Thus,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respect,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simply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presents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brief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summary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preceded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surrounding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emphasis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realm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preceding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outlines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days,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leading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Messianic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Era.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coming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three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would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Canon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often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thought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sense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providing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Biblical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history,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along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spiritual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lessons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drawn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from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Biblical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history.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However,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viewing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perspective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only</w:t>
      </w:r>
      <w:r w:rsidR="005A4CED">
        <w:rPr>
          <w:rFonts w:eastAsia="Times New Roman"/>
          <w:color w:val="000000"/>
        </w:rPr>
        <w:t xml:space="preserve"> </w:t>
      </w:r>
      <w:proofErr w:type="gramStart"/>
      <w:r w:rsidRPr="00F725B3">
        <w:rPr>
          <w:rFonts w:eastAsia="Times New Roman"/>
          <w:color w:val="000000"/>
        </w:rPr>
        <w:t>presents</w:t>
      </w:r>
      <w:proofErr w:type="gramEnd"/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picture.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mainly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type-antitype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structure,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HIGHLY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nature.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fact,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perspective,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JUST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third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Isaiah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Malachi,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containing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minor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minor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sense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length,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importance</w:t>
      </w:r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5A4CED">
      <w:pPr>
        <w:shd w:val="clear" w:color="auto" w:fill="FFFFFF"/>
        <w:ind w:left="720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(In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preceding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respect,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note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problem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oft-repeated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statement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about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one-fourth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Bible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claim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which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taken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typical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facet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Biblical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structure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account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at</w:t>
      </w:r>
      <w:r w:rsidR="005A4CED">
        <w:rPr>
          <w:rFonts w:eastAsia="Times New Roman"/>
          <w:i/>
          <w:iCs/>
          <w:color w:val="000000"/>
        </w:rPr>
        <w:t xml:space="preserve"> </w:t>
      </w:r>
      <w:proofErr w:type="gramStart"/>
      <w:r w:rsidRPr="00F725B3">
        <w:rPr>
          <w:rFonts w:eastAsia="Times New Roman"/>
          <w:i/>
          <w:iCs/>
          <w:color w:val="000000"/>
        </w:rPr>
        <w:t>all</w:t>
      </w:r>
      <w:proofErr w:type="gramEnd"/>
      <w:r w:rsidRPr="00F725B3">
        <w:rPr>
          <w:rFonts w:eastAsia="Times New Roman"/>
          <w:i/>
          <w:iCs/>
          <w:color w:val="000000"/>
        </w:rPr>
        <w:t>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else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figure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used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would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MUCH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higher,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possibly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more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doubled</w:t>
      </w:r>
      <w:r w:rsidRPr="00F725B3">
        <w:rPr>
          <w:rFonts w:eastAsia="Times New Roman"/>
          <w:color w:val="000000"/>
        </w:rPr>
        <w:t>.)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Also,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centers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around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perspective,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typology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another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matter.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typical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structure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Scripture,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covering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about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one-half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entire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Testament,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somewhat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divided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between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Church.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example,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viewing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two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6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2-8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hyperlink r:id="rId7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23-25</w:t>
        </w:r>
      </w:hyperlink>
      <w:r w:rsidRPr="00F725B3">
        <w:rPr>
          <w:rFonts w:eastAsia="Times New Roman"/>
          <w:color w:val="000000"/>
        </w:rPr>
        <w:t>),</w:t>
      </w:r>
      <w:r w:rsidR="005A4CED">
        <w:rPr>
          <w:rFonts w:eastAsia="Times New Roman"/>
          <w:color w:val="000000"/>
        </w:rPr>
        <w:t xml:space="preserve"> </w:t>
      </w:r>
      <w:hyperlink r:id="rId8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9" w:history="1">
        <w:r w:rsidRPr="00F725B3">
          <w:rPr>
            <w:rFonts w:eastAsia="Times New Roman"/>
            <w:color w:val="0062B5"/>
            <w:u w:val="single"/>
          </w:rPr>
          <w:t>3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10" w:history="1">
        <w:r w:rsidRPr="00F725B3">
          <w:rPr>
            <w:rFonts w:eastAsia="Times New Roman"/>
            <w:color w:val="0062B5"/>
            <w:u w:val="single"/>
          </w:rPr>
          <w:t>5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Church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hyperlink r:id="rId11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4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12" w:history="1">
        <w:r w:rsidRPr="00F725B3">
          <w:rPr>
            <w:rFonts w:eastAsia="Times New Roman"/>
            <w:color w:val="0062B5"/>
            <w:u w:val="single"/>
          </w:rPr>
          <w:t>6-8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then</w:t>
      </w:r>
      <w:r w:rsidR="005A4CED">
        <w:rPr>
          <w:rFonts w:eastAsia="Times New Roman"/>
          <w:color w:val="000000"/>
        </w:rPr>
        <w:t xml:space="preserve"> </w:t>
      </w:r>
      <w:hyperlink r:id="rId13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23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hyperlink r:id="rId14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24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Church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hyperlink r:id="rId15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25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again.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Both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aspects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teachings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lives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Joseph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16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37-45</w:t>
        </w:r>
      </w:hyperlink>
      <w:r w:rsidRPr="00F725B3">
        <w:rPr>
          <w:rFonts w:eastAsia="Times New Roman"/>
          <w:color w:val="000000"/>
        </w:rPr>
        <w:t>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Exodus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17" w:history="1">
        <w:r w:rsidRPr="00F725B3">
          <w:rPr>
            <w:rFonts w:eastAsia="Times New Roman"/>
            <w:color w:val="0062B5"/>
            <w:u w:val="single"/>
          </w:rPr>
          <w:t>Genesis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2-4</w:t>
        </w:r>
      </w:hyperlink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Both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Joseph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took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Gentile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brides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during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time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after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had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rejected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separated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from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their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brethren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(having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Church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following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Christ’s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rejection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separation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brethren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according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flesh);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time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Joseph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lastRenderedPageBreak/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dealt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their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brethren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again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(having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time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resumes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dealings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Then,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whole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matters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manner.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Most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Exodus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respect,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II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Samuel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Church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respect.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Then,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Ruth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Ruth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Church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</w:t>
      </w:r>
      <w:r w:rsidRPr="00F725B3">
        <w:rPr>
          <w:rFonts w:eastAsia="Times New Roman"/>
          <w:color w:val="000000"/>
        </w:rPr>
        <w:t>l.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And,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viewing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matters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different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perspective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yet,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note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journey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Israelites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Joshua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18" w:history="1">
        <w:r w:rsidRPr="00F725B3">
          <w:rPr>
            <w:rFonts w:eastAsia="Times New Roman"/>
            <w:color w:val="0062B5"/>
            <w:u w:val="single"/>
          </w:rPr>
          <w:t>Exodus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12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Joshua)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typifies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experiences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yet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future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Christians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Christ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today.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earthly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before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antitype;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heavenly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lies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before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Christians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antitype.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type-antitype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structure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referenced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tupos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color w:val="000000"/>
        </w:rPr>
        <w:t>(type)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Greek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text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hyperlink r:id="rId19" w:history="1">
        <w:r w:rsidRPr="00F725B3">
          <w:rPr>
            <w:rFonts w:eastAsia="Times New Roman"/>
            <w:color w:val="0062B5"/>
            <w:u w:val="single"/>
          </w:rPr>
          <w:t>I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Corinthians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10:6</w:t>
        </w:r>
      </w:hyperlink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hyperlink r:id="rId20" w:history="1">
        <w:r w:rsidRPr="00F725B3">
          <w:rPr>
            <w:rFonts w:eastAsia="Times New Roman"/>
            <w:color w:val="0062B5"/>
            <w:u w:val="single"/>
          </w:rPr>
          <w:t>11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basis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upon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which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particularly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second,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third,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fourth,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fifth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five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major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warnings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Hebrews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understood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21" w:history="1">
        <w:r w:rsidRPr="00F725B3">
          <w:rPr>
            <w:rFonts w:eastAsia="Times New Roman"/>
            <w:color w:val="0062B5"/>
            <w:u w:val="single"/>
          </w:rPr>
          <w:t>Hebrews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3-12</w:t>
        </w:r>
      </w:hyperlink>
      <w:r w:rsidRPr="00F725B3">
        <w:rPr>
          <w:rFonts w:eastAsia="Times New Roman"/>
          <w:color w:val="000000"/>
        </w:rPr>
        <w:t>);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forms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basis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understanding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entire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pilgrim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walk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Christian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today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journey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from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Egypt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[a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world]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Canaan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[a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heavenly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land,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connected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inheritance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awaiting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Christians]).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Or,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previously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back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experiences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Israelites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foreshadow,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well,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future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restoration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Jewish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people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Christ.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Thus,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immense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wealth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information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lies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way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designed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opening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Word.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Within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inherent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typical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structure,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Scripture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HIGHLY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—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subsequent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Scripture.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numerous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prophecies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extending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also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such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Balaam’s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prophecies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22" w:history="1">
        <w:r w:rsidRPr="00F725B3">
          <w:rPr>
            <w:rFonts w:eastAsia="Times New Roman"/>
            <w:color w:val="0062B5"/>
            <w:u w:val="single"/>
          </w:rPr>
          <w:t>Numbers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22-24</w:t>
        </w:r>
      </w:hyperlink>
      <w:r w:rsidRPr="00F725B3">
        <w:rPr>
          <w:rFonts w:eastAsia="Times New Roman"/>
          <w:color w:val="000000"/>
        </w:rPr>
        <w:t>),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promises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warnings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hyperlink r:id="rId23" w:history="1">
        <w:r w:rsidRPr="00F725B3">
          <w:rPr>
            <w:rFonts w:eastAsia="Times New Roman"/>
            <w:color w:val="0062B5"/>
            <w:u w:val="single"/>
          </w:rPr>
          <w:t>Leviticus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26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hyperlink r:id="rId24" w:history="1">
        <w:r w:rsidRPr="00F725B3">
          <w:rPr>
            <w:rFonts w:eastAsia="Times New Roman"/>
            <w:color w:val="0062B5"/>
            <w:u w:val="single"/>
          </w:rPr>
          <w:t>Deuteronomy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28</w:t>
        </w:r>
      </w:hyperlink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well.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provides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detailed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history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relating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reason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called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existence,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expected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reason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Jewish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people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ultimately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found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themselves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uprooted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their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scattered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among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Then,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viewing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typical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aspect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events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beyond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prophecy,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showing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matter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Psalms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way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designed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structured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opening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25" w:history="1">
        <w:r w:rsidRPr="00F725B3">
          <w:rPr>
            <w:rFonts w:eastAsia="Times New Roman"/>
            <w:color w:val="0062B5"/>
            <w:u w:val="single"/>
          </w:rPr>
          <w:t>Hebrews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1:1-2</w:t>
        </w:r>
      </w:hyperlink>
      <w:r w:rsidRPr="00F725B3">
        <w:rPr>
          <w:rFonts w:eastAsia="Times New Roman"/>
          <w:color w:val="000000"/>
        </w:rPr>
        <w:t>).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would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revealed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MUST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recognize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fact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study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Word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after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same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fashion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which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given</w:t>
      </w:r>
      <w:r w:rsidRPr="00F725B3">
        <w:rPr>
          <w:rFonts w:eastAsia="Times New Roman"/>
          <w:color w:val="000000"/>
        </w:rPr>
        <w:t>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opening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backdrop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second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covering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Job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Song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Solomon)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third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major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well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(all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extending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Isaiah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Malachi).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would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say,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back-drop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remainder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Testament</w:t>
      </w:r>
      <w:r w:rsidRPr="00F725B3">
        <w:rPr>
          <w:rFonts w:eastAsia="Times New Roman"/>
          <w:color w:val="000000"/>
        </w:rPr>
        <w:t>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does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ignores)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beginning,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impossible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ever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understanding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(including,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course,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N.T.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well),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latter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inseparably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tied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built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upon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former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respect.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b/>
          <w:bCs/>
          <w:color w:val="000000"/>
        </w:rPr>
        <w:t>Second</w:t>
      </w:r>
      <w:r w:rsidR="005A4CED">
        <w:rPr>
          <w:rFonts w:eastAsia="Times New Roman"/>
          <w:b/>
          <w:bCs/>
          <w:color w:val="000000"/>
        </w:rPr>
        <w:t xml:space="preserve"> </w:t>
      </w:r>
      <w:r w:rsidRPr="00F725B3">
        <w:rPr>
          <w:rFonts w:eastAsia="Times New Roman"/>
          <w:b/>
          <w:bCs/>
          <w:color w:val="000000"/>
        </w:rPr>
        <w:t>Section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God’s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progressive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sense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designed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understanding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understanding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earlier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progresses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other,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Scripture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MUST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compared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earlier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earlier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26" w:history="1">
        <w:r w:rsidRPr="00F725B3">
          <w:rPr>
            <w:rFonts w:eastAsia="Times New Roman"/>
            <w:color w:val="0062B5"/>
            <w:u w:val="single"/>
          </w:rPr>
          <w:t>I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Corinthians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2:9-13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cf.</w:t>
      </w:r>
      <w:r w:rsidR="005A4CED">
        <w:rPr>
          <w:rFonts w:eastAsia="Times New Roman"/>
          <w:i/>
          <w:iCs/>
          <w:color w:val="000000"/>
        </w:rPr>
        <w:t xml:space="preserve"> </w:t>
      </w:r>
      <w:hyperlink r:id="rId27" w:history="1">
        <w:r w:rsidRPr="00F725B3">
          <w:rPr>
            <w:rFonts w:eastAsia="Times New Roman"/>
            <w:color w:val="0062B5"/>
            <w:u w:val="single"/>
          </w:rPr>
          <w:t>Isaiah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28:10</w:t>
        </w:r>
      </w:hyperlink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example,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second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numerous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Psalms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covering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present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condition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(scattered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among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also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lies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future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restored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elevated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among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[</w:t>
      </w:r>
      <w:r w:rsidRPr="00F725B3">
        <w:rPr>
          <w:rFonts w:eastAsia="Times New Roman"/>
          <w:i/>
          <w:iCs/>
          <w:color w:val="000000"/>
        </w:rPr>
        <w:t>e.g.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hyperlink r:id="rId28" w:history="1">
        <w:r w:rsidRPr="00F725B3">
          <w:rPr>
            <w:rFonts w:eastAsia="Times New Roman"/>
            <w:color w:val="0062B5"/>
            <w:u w:val="single"/>
          </w:rPr>
          <w:t>Psalms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29" w:history="1">
        <w:r w:rsidRPr="00F725B3">
          <w:rPr>
            <w:rFonts w:eastAsia="Times New Roman"/>
            <w:color w:val="0062B5"/>
            <w:u w:val="single"/>
          </w:rPr>
          <w:t>8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0" w:history="1">
        <w:r w:rsidRPr="00F725B3">
          <w:rPr>
            <w:rFonts w:eastAsia="Times New Roman"/>
            <w:color w:val="0062B5"/>
            <w:u w:val="single"/>
          </w:rPr>
          <w:t>22-24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1" w:history="1">
        <w:r w:rsidRPr="00F725B3">
          <w:rPr>
            <w:rFonts w:eastAsia="Times New Roman"/>
            <w:color w:val="0062B5"/>
            <w:u w:val="single"/>
          </w:rPr>
          <w:t>37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2" w:history="1">
        <w:r w:rsidRPr="00F725B3">
          <w:rPr>
            <w:rFonts w:eastAsia="Times New Roman"/>
            <w:color w:val="0062B5"/>
            <w:u w:val="single"/>
          </w:rPr>
          <w:t>45-47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3" w:history="1">
        <w:r w:rsidRPr="00F725B3">
          <w:rPr>
            <w:rFonts w:eastAsia="Times New Roman"/>
            <w:color w:val="0062B5"/>
            <w:u w:val="single"/>
          </w:rPr>
          <w:t>76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4" w:history="1">
        <w:r w:rsidRPr="00F725B3">
          <w:rPr>
            <w:rFonts w:eastAsia="Times New Roman"/>
            <w:color w:val="0062B5"/>
            <w:u w:val="single"/>
          </w:rPr>
          <w:t>83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5" w:history="1">
        <w:r w:rsidRPr="00F725B3">
          <w:rPr>
            <w:rFonts w:eastAsia="Times New Roman"/>
            <w:color w:val="0062B5"/>
            <w:u w:val="single"/>
          </w:rPr>
          <w:t>89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6" w:history="1">
        <w:r w:rsidRPr="00F725B3">
          <w:rPr>
            <w:rFonts w:eastAsia="Times New Roman"/>
            <w:color w:val="0062B5"/>
            <w:u w:val="single"/>
          </w:rPr>
          <w:t>97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7" w:history="1">
        <w:r w:rsidRPr="00F725B3">
          <w:rPr>
            <w:rFonts w:eastAsia="Times New Roman"/>
            <w:color w:val="0062B5"/>
            <w:u w:val="single"/>
          </w:rPr>
          <w:t>102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8" w:history="1">
        <w:r w:rsidRPr="00F725B3">
          <w:rPr>
            <w:rFonts w:eastAsia="Times New Roman"/>
            <w:color w:val="0062B5"/>
            <w:u w:val="single"/>
          </w:rPr>
          <w:t>110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39" w:history="1">
        <w:r w:rsidRPr="00F725B3">
          <w:rPr>
            <w:rFonts w:eastAsia="Times New Roman"/>
            <w:color w:val="0062B5"/>
            <w:u w:val="single"/>
          </w:rPr>
          <w:t>121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0" w:history="1">
        <w:r w:rsidRPr="00F725B3">
          <w:rPr>
            <w:rFonts w:eastAsia="Times New Roman"/>
            <w:color w:val="0062B5"/>
            <w:u w:val="single"/>
          </w:rPr>
          <w:t>126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1" w:history="1">
        <w:r w:rsidRPr="00F725B3">
          <w:rPr>
            <w:rFonts w:eastAsia="Times New Roman"/>
            <w:color w:val="0062B5"/>
            <w:u w:val="single"/>
          </w:rPr>
          <w:t>137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2" w:history="1">
        <w:r w:rsidRPr="00F725B3">
          <w:rPr>
            <w:rFonts w:eastAsia="Times New Roman"/>
            <w:color w:val="0062B5"/>
            <w:u w:val="single"/>
          </w:rPr>
          <w:t>145</w:t>
        </w:r>
      </w:hyperlink>
      <w:r w:rsidRPr="00F725B3">
        <w:rPr>
          <w:rFonts w:eastAsia="Times New Roman"/>
          <w:color w:val="000000"/>
        </w:rPr>
        <w:t>]).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Psalms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CANNOT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understood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backdrop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provided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fact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numerous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Psalms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CANNOT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understood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should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easy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understand,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reveals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all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way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FROM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reason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nation’s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calling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firstborn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reason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allowed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Gentile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nations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come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uproot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people.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THEN,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beyond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that,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typical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aspect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first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enters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matter,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projecting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events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out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future,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seen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Psalms.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b/>
          <w:bCs/>
          <w:color w:val="000000"/>
        </w:rPr>
        <w:t>Third</w:t>
      </w:r>
      <w:r w:rsidR="005A4CED">
        <w:rPr>
          <w:rFonts w:eastAsia="Times New Roman"/>
          <w:b/>
          <w:bCs/>
          <w:color w:val="000000"/>
        </w:rPr>
        <w:t xml:space="preserve"> </w:t>
      </w:r>
      <w:r w:rsidRPr="00F725B3">
        <w:rPr>
          <w:rFonts w:eastAsia="Times New Roman"/>
          <w:b/>
          <w:bCs/>
          <w:color w:val="000000"/>
        </w:rPr>
        <w:t>Section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present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EXACTLY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SAME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central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theme</w:t>
      </w:r>
      <w:r w:rsidRPr="00F725B3">
        <w:rPr>
          <w:rFonts w:eastAsia="Times New Roman"/>
          <w:color w:val="000000"/>
        </w:rPr>
        <w:t>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It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preceding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Psalms,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preceding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viewing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latter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typical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vantage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points.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Each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(seventeen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seventeen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books)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different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facets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whole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history,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current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condition,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future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destiny,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particular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emphasis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placed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upon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punishment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befalling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people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because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disobedience,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followed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Jewish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people’s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repentance,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followed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destruction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Gentile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world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power,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followed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restoring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things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comprise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overriding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ALL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Testament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prophecy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pertains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whether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historic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books,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Psalms,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Each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beginning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Isaiah,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covers,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after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some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fashion,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panorama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Israeli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history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events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extending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from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time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nation’s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inception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almost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three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one-half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millenniums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ago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Messianic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Kingdom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yet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future.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BUT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two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seventeen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cover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EXACTLY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thing,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after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EXACTLY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same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fashion.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Each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book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centers</w:t>
      </w:r>
      <w:r w:rsidR="005A4CED">
        <w:rPr>
          <w:rFonts w:eastAsia="Times New Roman"/>
          <w:i/>
          <w:iCs/>
          <w:color w:val="000000"/>
        </w:rPr>
        <w:t xml:space="preserve"> </w:t>
      </w:r>
      <w:proofErr w:type="gramStart"/>
      <w:r w:rsidRPr="00F725B3">
        <w:rPr>
          <w:rFonts w:eastAsia="Times New Roman"/>
          <w:i/>
          <w:iCs/>
          <w:color w:val="000000"/>
        </w:rPr>
        <w:t>around</w:t>
      </w:r>
      <w:proofErr w:type="gramEnd"/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particular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peculiar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facet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study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panorama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events.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respect,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studying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much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like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studying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types.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type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provides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complete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picture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itself,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prophetic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book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provides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complete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picture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itself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well.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Note,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example,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how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exists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because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Israeli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disobedience</w:t>
      </w:r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also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exists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bring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through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persecution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hands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Gentiles,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place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repentance.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THEN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since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emphasis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concerning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realm,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upon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repentance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restoration,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emphasis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concerning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should,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well,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upon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destruction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which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Pr="00F725B3">
        <w:rPr>
          <w:rFonts w:eastAsia="Times New Roman"/>
          <w:color w:val="000000"/>
        </w:rPr>
        <w:t>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parallels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other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Biblical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prophecy,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whether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Moses,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Psalms,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Over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over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beginning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—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Gentile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world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power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comes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view.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emphasis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realm,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Gentile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world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power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MUST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brought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BEFORE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Israel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occupy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nation’s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place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restored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theocracy.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finds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Egypt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destroyed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time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Exodus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Moses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43" w:history="1">
        <w:r w:rsidRPr="00F725B3">
          <w:rPr>
            <w:rFonts w:eastAsia="Times New Roman"/>
            <w:color w:val="0062B5"/>
            <w:u w:val="single"/>
          </w:rPr>
          <w:t>Exodus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14:27-31</w:t>
        </w:r>
      </w:hyperlink>
      <w:r w:rsidRPr="00F725B3">
        <w:rPr>
          <w:rFonts w:eastAsia="Times New Roman"/>
          <w:color w:val="000000"/>
        </w:rPr>
        <w:t>);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finds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Haman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slain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Esther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prior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Jewish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people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receiving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their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due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recognition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44" w:history="1">
        <w:r w:rsidRPr="00F725B3">
          <w:rPr>
            <w:rFonts w:eastAsia="Times New Roman"/>
            <w:color w:val="0062B5"/>
            <w:u w:val="single"/>
          </w:rPr>
          <w:t>Exodus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7:9-10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5" w:history="1">
        <w:r w:rsidRPr="00F725B3">
          <w:rPr>
            <w:rFonts w:eastAsia="Times New Roman"/>
            <w:color w:val="0062B5"/>
            <w:u w:val="single"/>
          </w:rPr>
          <w:t>8:15-17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6" w:history="1">
        <w:r w:rsidRPr="00F725B3">
          <w:rPr>
            <w:rFonts w:eastAsia="Times New Roman"/>
            <w:color w:val="0062B5"/>
            <w:u w:val="single"/>
          </w:rPr>
          <w:t>10:1-3</w:t>
        </w:r>
      </w:hyperlink>
      <w:r w:rsidRPr="00F725B3">
        <w:rPr>
          <w:rFonts w:eastAsia="Times New Roman"/>
          <w:color w:val="000000"/>
        </w:rPr>
        <w:t>);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numerous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Psalms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subject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prior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restored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r w:rsidRPr="00F725B3">
        <w:rPr>
          <w:rFonts w:eastAsia="Times New Roman"/>
          <w:i/>
          <w:iCs/>
          <w:color w:val="000000"/>
        </w:rPr>
        <w:t>e.g.</w:t>
      </w:r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hyperlink r:id="rId47" w:history="1">
        <w:r w:rsidRPr="00F725B3">
          <w:rPr>
            <w:rFonts w:eastAsia="Times New Roman"/>
            <w:color w:val="0062B5"/>
            <w:u w:val="single"/>
          </w:rPr>
          <w:t>Psalm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2:1-5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8" w:history="1">
        <w:r w:rsidRPr="00F725B3">
          <w:rPr>
            <w:rFonts w:eastAsia="Times New Roman"/>
            <w:color w:val="0062B5"/>
            <w:u w:val="single"/>
          </w:rPr>
          <w:t>Isaiah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24:21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49" w:history="1">
        <w:r w:rsidRPr="00F725B3">
          <w:rPr>
            <w:rFonts w:eastAsia="Times New Roman"/>
            <w:color w:val="0062B5"/>
            <w:u w:val="single"/>
          </w:rPr>
          <w:t>Jeremiah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4:26-28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50" w:history="1">
        <w:r w:rsidRPr="00F725B3">
          <w:rPr>
            <w:rFonts w:eastAsia="Times New Roman"/>
            <w:color w:val="0062B5"/>
            <w:u w:val="single"/>
          </w:rPr>
          <w:t>Ezekiel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39:21-22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51" w:history="1">
        <w:r w:rsidRPr="00F725B3">
          <w:rPr>
            <w:rFonts w:eastAsia="Times New Roman"/>
            <w:color w:val="0062B5"/>
            <w:u w:val="single"/>
          </w:rPr>
          <w:t>Daniel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11:36-45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52" w:history="1">
        <w:r w:rsidRPr="00F725B3">
          <w:rPr>
            <w:rFonts w:eastAsia="Times New Roman"/>
            <w:color w:val="0062B5"/>
            <w:u w:val="single"/>
          </w:rPr>
          <w:t>Joel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3:12-16</w:t>
        </w:r>
      </w:hyperlink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Gentile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world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power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come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to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END.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depicted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hyperlink r:id="rId53" w:history="1">
        <w:r w:rsidRPr="00F725B3">
          <w:rPr>
            <w:rFonts w:eastAsia="Times New Roman"/>
            <w:color w:val="0062B5"/>
            <w:u w:val="single"/>
          </w:rPr>
          <w:t>Daniel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2:34-35</w:t>
        </w:r>
      </w:hyperlink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hyperlink r:id="rId54" w:history="1">
        <w:r w:rsidRPr="00F725B3">
          <w:rPr>
            <w:rFonts w:eastAsia="Times New Roman"/>
            <w:color w:val="0062B5"/>
            <w:u w:val="single"/>
          </w:rPr>
          <w:t>44-45</w:t>
        </w:r>
      </w:hyperlink>
      <w:r w:rsidRPr="00F725B3">
        <w:rPr>
          <w:rFonts w:eastAsia="Times New Roman"/>
          <w:color w:val="000000"/>
        </w:rPr>
        <w:t>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among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numerous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other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Christ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return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personally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destroy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final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form,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headed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up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under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Antichrist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coming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day.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once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world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power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destroyed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manner,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pictures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destruction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“chaff”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thrown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from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threshing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floor,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carried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away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wind,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elevated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proper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place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among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earth,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realizing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position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occupied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firstborn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r w:rsidRPr="00F725B3">
        <w:rPr>
          <w:rFonts w:eastAsia="Times New Roman"/>
          <w:i/>
          <w:iCs/>
          <w:color w:val="000000"/>
        </w:rPr>
        <w:t>cf</w:t>
      </w:r>
      <w:r w:rsidRPr="00F725B3">
        <w:rPr>
          <w:rFonts w:eastAsia="Times New Roman"/>
          <w:color w:val="000000"/>
        </w:rPr>
        <w:t>.</w:t>
      </w:r>
      <w:r w:rsidR="005A4CED">
        <w:rPr>
          <w:rFonts w:eastAsia="Times New Roman"/>
          <w:color w:val="000000"/>
        </w:rPr>
        <w:t xml:space="preserve"> </w:t>
      </w:r>
      <w:hyperlink r:id="rId55" w:history="1">
        <w:r w:rsidRPr="00F725B3">
          <w:rPr>
            <w:rFonts w:eastAsia="Times New Roman"/>
            <w:color w:val="0062B5"/>
            <w:u w:val="single"/>
          </w:rPr>
          <w:t>Exodus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4:22-23</w:t>
        </w:r>
      </w:hyperlink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b/>
          <w:bCs/>
          <w:color w:val="000000"/>
        </w:rPr>
        <w:t>Concluding</w:t>
      </w:r>
      <w:r w:rsidR="005A4CED">
        <w:rPr>
          <w:rFonts w:eastAsia="Times New Roman"/>
          <w:b/>
          <w:bCs/>
          <w:color w:val="000000"/>
        </w:rPr>
        <w:t xml:space="preserve"> </w:t>
      </w:r>
      <w:r w:rsidRPr="00F725B3">
        <w:rPr>
          <w:rFonts w:eastAsia="Times New Roman"/>
          <w:b/>
          <w:bCs/>
          <w:color w:val="000000"/>
        </w:rPr>
        <w:t>Remarks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“A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threshing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floor”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used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depict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judgment</w:t>
      </w:r>
      <w:r w:rsidRPr="00F725B3">
        <w:rPr>
          <w:rFonts w:eastAsia="Times New Roman"/>
          <w:color w:val="000000"/>
        </w:rPr>
        <w:t>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true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God’s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judgment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upon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Christians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dispensation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r w:rsidRPr="00F725B3">
        <w:rPr>
          <w:rFonts w:eastAsia="Times New Roman"/>
          <w:i/>
          <w:iCs/>
          <w:color w:val="000000"/>
        </w:rPr>
        <w:t>cf</w:t>
      </w:r>
      <w:r w:rsidRPr="00F725B3">
        <w:rPr>
          <w:rFonts w:eastAsia="Times New Roman"/>
          <w:color w:val="000000"/>
        </w:rPr>
        <w:t>.</w:t>
      </w:r>
      <w:r w:rsidR="005A4CED">
        <w:rPr>
          <w:rFonts w:eastAsia="Times New Roman"/>
          <w:color w:val="000000"/>
        </w:rPr>
        <w:t xml:space="preserve"> </w:t>
      </w:r>
      <w:hyperlink r:id="rId56" w:history="1">
        <w:r w:rsidRPr="00F725B3">
          <w:rPr>
            <w:rFonts w:eastAsia="Times New Roman"/>
            <w:color w:val="0062B5"/>
            <w:u w:val="single"/>
          </w:rPr>
          <w:t>Ruth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3:2ff</w:t>
        </w:r>
      </w:hyperlink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hyperlink r:id="rId57" w:history="1">
        <w:r w:rsidRPr="00F725B3">
          <w:rPr>
            <w:rFonts w:eastAsia="Times New Roman"/>
            <w:color w:val="0062B5"/>
            <w:u w:val="single"/>
          </w:rPr>
          <w:t>Matthew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3:11-12</w:t>
        </w:r>
      </w:hyperlink>
      <w:r w:rsidRPr="00F725B3">
        <w:rPr>
          <w:rFonts w:eastAsia="Times New Roman"/>
          <w:color w:val="000000"/>
        </w:rPr>
        <w:t>),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equally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true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judgment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upon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Gentile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Tribulation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(</w:t>
      </w:r>
      <w:hyperlink r:id="rId58" w:history="1">
        <w:r w:rsidRPr="00F725B3">
          <w:rPr>
            <w:rFonts w:eastAsia="Times New Roman"/>
            <w:color w:val="0062B5"/>
            <w:u w:val="single"/>
          </w:rPr>
          <w:t>Daniel</w:t>
        </w:r>
        <w:r w:rsidR="005A4CED">
          <w:rPr>
            <w:rFonts w:eastAsia="Times New Roman"/>
            <w:color w:val="0062B5"/>
            <w:u w:val="single"/>
          </w:rPr>
          <w:t xml:space="preserve"> </w:t>
        </w:r>
        <w:r w:rsidRPr="00F725B3">
          <w:rPr>
            <w:rFonts w:eastAsia="Times New Roman"/>
            <w:color w:val="0062B5"/>
            <w:u w:val="single"/>
          </w:rPr>
          <w:t>2:35</w:t>
        </w:r>
      </w:hyperlink>
      <w:r w:rsidRPr="00F725B3">
        <w:rPr>
          <w:rFonts w:eastAsia="Times New Roman"/>
          <w:color w:val="000000"/>
        </w:rPr>
        <w:t>).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deny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sequences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events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occur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end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Man’s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Day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deny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central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themes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pertains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Church,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Much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surrounding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Church,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Israel,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nations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awaits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fulfillment.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respect,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steps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begins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fulfill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these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Scriptures,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multiplied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thousands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upon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thousands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prophecies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seen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pages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beginning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with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opening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chapters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Genesis,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will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fulfilled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very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short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period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time.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color w:val="000000"/>
        </w:rPr>
        <w:t>God,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through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writers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of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Old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Testament,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has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provided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voluminous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amount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of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information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this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overall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subject</w:t>
      </w:r>
      <w:r w:rsidRPr="00F725B3">
        <w:rPr>
          <w:rFonts w:eastAsia="Times New Roman"/>
          <w:color w:val="000000"/>
        </w:rPr>
        <w:t>;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there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no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reason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for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anyone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today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be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uninformed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or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ignorant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concerning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that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which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God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is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about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to</w:t>
      </w:r>
      <w:r w:rsidR="005A4CED">
        <w:rPr>
          <w:rFonts w:eastAsia="Times New Roman"/>
          <w:color w:val="000000"/>
        </w:rPr>
        <w:t xml:space="preserve"> </w:t>
      </w:r>
      <w:r w:rsidRPr="00F725B3">
        <w:rPr>
          <w:rFonts w:eastAsia="Times New Roman"/>
          <w:color w:val="000000"/>
        </w:rPr>
        <w:t>do.</w:t>
      </w: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</w:p>
    <w:p w:rsidR="00F725B3" w:rsidRPr="00F725B3" w:rsidRDefault="00F725B3" w:rsidP="00F725B3">
      <w:pPr>
        <w:shd w:val="clear" w:color="auto" w:fill="FFFFFF"/>
        <w:rPr>
          <w:rFonts w:eastAsia="Times New Roman"/>
          <w:sz w:val="18"/>
          <w:szCs w:val="18"/>
        </w:rPr>
      </w:pPr>
      <w:r w:rsidRPr="00F725B3">
        <w:rPr>
          <w:rFonts w:eastAsia="Times New Roman"/>
          <w:i/>
          <w:iCs/>
          <w:color w:val="000000"/>
        </w:rPr>
        <w:t>It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has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ALL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been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laid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out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in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Old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Testament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Scriptures,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beginning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Moses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and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ending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with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the</w:t>
      </w:r>
      <w:r w:rsidR="005A4CED">
        <w:rPr>
          <w:rFonts w:eastAsia="Times New Roman"/>
          <w:i/>
          <w:iCs/>
          <w:color w:val="000000"/>
        </w:rPr>
        <w:t xml:space="preserve"> </w:t>
      </w:r>
      <w:r w:rsidRPr="00F725B3">
        <w:rPr>
          <w:rFonts w:eastAsia="Times New Roman"/>
          <w:i/>
          <w:iCs/>
          <w:color w:val="000000"/>
        </w:rPr>
        <w:t>Prophets.</w:t>
      </w:r>
      <w:bookmarkStart w:id="0" w:name="_GoBack"/>
      <w:bookmarkEnd w:id="0"/>
    </w:p>
    <w:sectPr w:rsidR="00F725B3" w:rsidRPr="00F725B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3E"/>
    <w:rsid w:val="00135EAB"/>
    <w:rsid w:val="002753EA"/>
    <w:rsid w:val="002826A5"/>
    <w:rsid w:val="00336C7A"/>
    <w:rsid w:val="003677B7"/>
    <w:rsid w:val="00503C54"/>
    <w:rsid w:val="005A4CED"/>
    <w:rsid w:val="005C7A70"/>
    <w:rsid w:val="006631E6"/>
    <w:rsid w:val="00695D67"/>
    <w:rsid w:val="00774C51"/>
    <w:rsid w:val="008037FE"/>
    <w:rsid w:val="00825F93"/>
    <w:rsid w:val="00881472"/>
    <w:rsid w:val="00B51BB6"/>
    <w:rsid w:val="00CB3495"/>
    <w:rsid w:val="00CD293F"/>
    <w:rsid w:val="00DE7DCD"/>
    <w:rsid w:val="00ED093E"/>
    <w:rsid w:val="00F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1749D-F9C5-42C0-A445-8A6F6C3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9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6767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8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23&amp;t=NKJV" TargetMode="External"/><Relationship Id="rId18" Type="http://schemas.openxmlformats.org/officeDocument/2006/relationships/hyperlink" Target="https://www.blueletterbible.org/search/preSearch.cfm?Criteria=Exodus+12&amp;t=NKJV" TargetMode="External"/><Relationship Id="rId26" Type="http://schemas.openxmlformats.org/officeDocument/2006/relationships/hyperlink" Target="https://www.blueletterbible.org/search/preSearch.cfm?Criteria=I+Corinthians+2.9-13&amp;t=NKJV" TargetMode="External"/><Relationship Id="rId39" Type="http://schemas.openxmlformats.org/officeDocument/2006/relationships/hyperlink" Target="https://www.blueletterbible.org/search/preSearch.cfm?Criteria=Psalms+121&amp;t=NKJV" TargetMode="External"/><Relationship Id="rId21" Type="http://schemas.openxmlformats.org/officeDocument/2006/relationships/hyperlink" Target="https://www.blueletterbible.org/search/preSearch.cfm?Criteria=Hebrews+3-12&amp;t=NKJV" TargetMode="External"/><Relationship Id="rId34" Type="http://schemas.openxmlformats.org/officeDocument/2006/relationships/hyperlink" Target="https://www.blueletterbible.org/search/preSearch.cfm?Criteria=Psalms+83&amp;t=NKJV" TargetMode="External"/><Relationship Id="rId42" Type="http://schemas.openxmlformats.org/officeDocument/2006/relationships/hyperlink" Target="https://www.blueletterbible.org/search/preSearch.cfm?Criteria=Psalms+145&amp;t=NKJV" TargetMode="External"/><Relationship Id="rId47" Type="http://schemas.openxmlformats.org/officeDocument/2006/relationships/hyperlink" Target="https://www.blueletterbible.org/search/preSearch.cfm?Criteria=Psalm+2.1-5&amp;t=NKJV" TargetMode="External"/><Relationship Id="rId50" Type="http://schemas.openxmlformats.org/officeDocument/2006/relationships/hyperlink" Target="https://www.blueletterbible.org/search/preSearch.cfm?Criteria=Ezekiel+39.21-22&amp;t=NKJV" TargetMode="External"/><Relationship Id="rId55" Type="http://schemas.openxmlformats.org/officeDocument/2006/relationships/hyperlink" Target="https://www.blueletterbible.org/search/preSearch.cfm?Criteria=Exodus+4.22-23&amp;t=NKJV" TargetMode="External"/><Relationship Id="rId7" Type="http://schemas.openxmlformats.org/officeDocument/2006/relationships/hyperlink" Target="https://www.blueletterbible.org/search/preSearch.cfm?Criteria=Genesis+23-25&amp;t=NKJV" TargetMode="External"/><Relationship Id="rId12" Type="http://schemas.openxmlformats.org/officeDocument/2006/relationships/hyperlink" Target="https://www.blueletterbible.org/search/preSearch.cfm?Criteria=Genesis+6-8&amp;t=NKJV" TargetMode="External"/><Relationship Id="rId17" Type="http://schemas.openxmlformats.org/officeDocument/2006/relationships/hyperlink" Target="https://www.blueletterbible.org/search/preSearch.cfm?Criteria=Genesis+2-4&amp;t=NKJV" TargetMode="External"/><Relationship Id="rId25" Type="http://schemas.openxmlformats.org/officeDocument/2006/relationships/hyperlink" Target="https://www.blueletterbible.org/search/preSearch.cfm?Criteria=Hebrews+1.1-2&amp;t=NKJV" TargetMode="External"/><Relationship Id="rId33" Type="http://schemas.openxmlformats.org/officeDocument/2006/relationships/hyperlink" Target="https://www.blueletterbible.org/search/preSearch.cfm?Criteria=Psalms+76&amp;t=NKJV" TargetMode="External"/><Relationship Id="rId38" Type="http://schemas.openxmlformats.org/officeDocument/2006/relationships/hyperlink" Target="https://www.blueletterbible.org/search/preSearch.cfm?Criteria=Psalms+110&amp;t=NKJV" TargetMode="External"/><Relationship Id="rId46" Type="http://schemas.openxmlformats.org/officeDocument/2006/relationships/hyperlink" Target="https://www.blueletterbible.org/search/preSearch.cfm?Criteria=Exodus+10.1-3&amp;t=NKJV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37-45&amp;t=NKJV" TargetMode="External"/><Relationship Id="rId20" Type="http://schemas.openxmlformats.org/officeDocument/2006/relationships/hyperlink" Target="https://www.blueletterbible.org/search/preSearch.cfm?Criteria=I+Corinthians+10.11&amp;t=NKJV" TargetMode="External"/><Relationship Id="rId29" Type="http://schemas.openxmlformats.org/officeDocument/2006/relationships/hyperlink" Target="https://www.blueletterbible.org/search/preSearch.cfm?Criteria=Psalms+8&amp;t=NKJV" TargetMode="External"/><Relationship Id="rId41" Type="http://schemas.openxmlformats.org/officeDocument/2006/relationships/hyperlink" Target="https://www.blueletterbible.org/search/preSearch.cfm?Criteria=Psalms+137&amp;t=NKJV" TargetMode="External"/><Relationship Id="rId54" Type="http://schemas.openxmlformats.org/officeDocument/2006/relationships/hyperlink" Target="https://www.blueletterbible.org/search/preSearch.cfm?Criteria=Daniel+2.44-4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2-8&amp;t=NKJV" TargetMode="External"/><Relationship Id="rId11" Type="http://schemas.openxmlformats.org/officeDocument/2006/relationships/hyperlink" Target="https://www.blueletterbible.org/search/preSearch.cfm?Criteria=Genesis+4&amp;t=NKJV" TargetMode="External"/><Relationship Id="rId24" Type="http://schemas.openxmlformats.org/officeDocument/2006/relationships/hyperlink" Target="https://www.blueletterbible.org/search/preSearch.cfm?Criteria=Deuteronomy+28&amp;t=NKJV" TargetMode="External"/><Relationship Id="rId32" Type="http://schemas.openxmlformats.org/officeDocument/2006/relationships/hyperlink" Target="https://www.blueletterbible.org/search/preSearch.cfm?Criteria=Psalms+45-47&amp;t=NKJV" TargetMode="External"/><Relationship Id="rId37" Type="http://schemas.openxmlformats.org/officeDocument/2006/relationships/hyperlink" Target="https://www.blueletterbible.org/search/preSearch.cfm?Criteria=Psalms+102&amp;t=NKJV" TargetMode="External"/><Relationship Id="rId40" Type="http://schemas.openxmlformats.org/officeDocument/2006/relationships/hyperlink" Target="https://www.blueletterbible.org/search/preSearch.cfm?Criteria=Psalms+126&amp;t=NKJV" TargetMode="External"/><Relationship Id="rId45" Type="http://schemas.openxmlformats.org/officeDocument/2006/relationships/hyperlink" Target="https://www.blueletterbible.org/search/preSearch.cfm?Criteria=Exodus+8.15-17&amp;t=NKJV" TargetMode="External"/><Relationship Id="rId53" Type="http://schemas.openxmlformats.org/officeDocument/2006/relationships/hyperlink" Target="https://www.blueletterbible.org/search/preSearch.cfm?Criteria=Daniel+2.34-35&amp;t=NKJV" TargetMode="External"/><Relationship Id="rId58" Type="http://schemas.openxmlformats.org/officeDocument/2006/relationships/hyperlink" Target="https://www.blueletterbible.org/search/preSearch.cfm?Criteria=Daniel+2.35&amp;t=NKJV" TargetMode="External"/><Relationship Id="rId5" Type="http://schemas.openxmlformats.org/officeDocument/2006/relationships/hyperlink" Target="https://www.blueletterbible.org/search/preSearch.cfm?Criteria=Genesis+11&amp;t=NKJV" TargetMode="External"/><Relationship Id="rId15" Type="http://schemas.openxmlformats.org/officeDocument/2006/relationships/hyperlink" Target="https://www.blueletterbible.org/search/preSearch.cfm?Criteria=Genesis+25&amp;t=NKJV" TargetMode="External"/><Relationship Id="rId23" Type="http://schemas.openxmlformats.org/officeDocument/2006/relationships/hyperlink" Target="https://www.blueletterbible.org/search/preSearch.cfm?Criteria=Leviticus+26&amp;t=NKJV" TargetMode="External"/><Relationship Id="rId28" Type="http://schemas.openxmlformats.org/officeDocument/2006/relationships/hyperlink" Target="https://www.blueletterbible.org/search/preSearch.cfm?Criteria=Psalms+2&amp;t=NKJV" TargetMode="External"/><Relationship Id="rId36" Type="http://schemas.openxmlformats.org/officeDocument/2006/relationships/hyperlink" Target="https://www.blueletterbible.org/search/preSearch.cfm?Criteria=Psalms+97&amp;t=NKJV" TargetMode="External"/><Relationship Id="rId49" Type="http://schemas.openxmlformats.org/officeDocument/2006/relationships/hyperlink" Target="https://www.blueletterbible.org/search/preSearch.cfm?Criteria=Jeremiah+4.26-28&amp;t=NKJV" TargetMode="External"/><Relationship Id="rId57" Type="http://schemas.openxmlformats.org/officeDocument/2006/relationships/hyperlink" Target="https://www.blueletterbible.org/search/preSearch.cfm?Criteria=Matthew+3.11-12&amp;t=NKJV" TargetMode="External"/><Relationship Id="rId10" Type="http://schemas.openxmlformats.org/officeDocument/2006/relationships/hyperlink" Target="https://www.blueletterbible.org/search/preSearch.cfm?Criteria=Genesis+5&amp;t=NKJV" TargetMode="External"/><Relationship Id="rId19" Type="http://schemas.openxmlformats.org/officeDocument/2006/relationships/hyperlink" Target="https://www.blueletterbible.org/search/preSearch.cfm?Criteria=I+Corinthians+10.6&amp;t=NKJV" TargetMode="External"/><Relationship Id="rId31" Type="http://schemas.openxmlformats.org/officeDocument/2006/relationships/hyperlink" Target="https://www.blueletterbible.org/search/preSearch.cfm?Criteria=Psalms+37&amp;t=NKJV" TargetMode="External"/><Relationship Id="rId44" Type="http://schemas.openxmlformats.org/officeDocument/2006/relationships/hyperlink" Target="https://www.blueletterbible.org/search/preSearch.cfm?Criteria=Exodus+7.9-10&amp;t=NKJV" TargetMode="External"/><Relationship Id="rId52" Type="http://schemas.openxmlformats.org/officeDocument/2006/relationships/hyperlink" Target="https://www.blueletterbible.org/search/preSearch.cfm?Criteria=Joel+3.12-16&amp;t=NKJV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3&amp;t=NKJV" TargetMode="External"/><Relationship Id="rId14" Type="http://schemas.openxmlformats.org/officeDocument/2006/relationships/hyperlink" Target="https://www.blueletterbible.org/search/preSearch.cfm?Criteria=Genesis+24&amp;t=NKJV" TargetMode="External"/><Relationship Id="rId22" Type="http://schemas.openxmlformats.org/officeDocument/2006/relationships/hyperlink" Target="https://www.blueletterbible.org/search/preSearch.cfm?Criteria=Numbers+22-24&amp;t=NKJV" TargetMode="External"/><Relationship Id="rId27" Type="http://schemas.openxmlformats.org/officeDocument/2006/relationships/hyperlink" Target="https://www.blueletterbible.org/search/preSearch.cfm?Criteria=Isaiah+28.10&amp;t=NKJV" TargetMode="External"/><Relationship Id="rId30" Type="http://schemas.openxmlformats.org/officeDocument/2006/relationships/hyperlink" Target="https://www.blueletterbible.org/search/preSearch.cfm?Criteria=Psalms+22-24&amp;t=NKJV" TargetMode="External"/><Relationship Id="rId35" Type="http://schemas.openxmlformats.org/officeDocument/2006/relationships/hyperlink" Target="https://www.blueletterbible.org/search/preSearch.cfm?Criteria=Psalms+89&amp;t=NKJV" TargetMode="External"/><Relationship Id="rId43" Type="http://schemas.openxmlformats.org/officeDocument/2006/relationships/hyperlink" Target="https://www.blueletterbible.org/search/preSearch.cfm?Criteria=Exodus+14.27-31&amp;t=NKJV" TargetMode="External"/><Relationship Id="rId48" Type="http://schemas.openxmlformats.org/officeDocument/2006/relationships/hyperlink" Target="https://www.blueletterbible.org/search/preSearch.cfm?Criteria=Isaiah+24.21&amp;t=NKJV" TargetMode="External"/><Relationship Id="rId56" Type="http://schemas.openxmlformats.org/officeDocument/2006/relationships/hyperlink" Target="https://www.blueletterbible.org/search/preSearch.cfm?Criteria=Ruth+3.2ff&amp;t=NKJV" TargetMode="External"/><Relationship Id="rId8" Type="http://schemas.openxmlformats.org/officeDocument/2006/relationships/hyperlink" Target="https://www.blueletterbible.org/search/preSearch.cfm?Criteria=Genesis+2&amp;t=NKJV" TargetMode="External"/><Relationship Id="rId51" Type="http://schemas.openxmlformats.org/officeDocument/2006/relationships/hyperlink" Target="https://www.blueletterbible.org/search/preSearch.cfm?Criteria=Daniel+11.36-45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9</cp:revision>
  <dcterms:created xsi:type="dcterms:W3CDTF">2021-06-18T14:32:00Z</dcterms:created>
  <dcterms:modified xsi:type="dcterms:W3CDTF">2021-06-19T16:46:00Z</dcterms:modified>
</cp:coreProperties>
</file>