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9E0865">
        <w:rPr>
          <w:rFonts w:eastAsia="Times New Roman"/>
          <w:b/>
          <w:color w:val="222222"/>
          <w:sz w:val="32"/>
          <w:szCs w:val="32"/>
        </w:rPr>
        <w:t>One Taken, Another Left</w:t>
      </w:r>
      <w:bookmarkEnd w:id="0"/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9E0865">
          <w:rPr>
            <w:rFonts w:ascii="Arial Black" w:eastAsia="Times New Roman" w:hAnsi="Arial Black"/>
            <w:color w:val="2F5496"/>
          </w:rPr>
          <w:t>Lamp</w:t>
        </w:r>
        <w:r>
          <w:rPr>
            <w:rFonts w:ascii="Arial Black" w:eastAsia="Times New Roman" w:hAnsi="Arial Black"/>
            <w:color w:val="2F5496"/>
          </w:rPr>
          <w:t xml:space="preserve"> </w:t>
        </w:r>
        <w:r w:rsidRPr="009E0865">
          <w:rPr>
            <w:rFonts w:ascii="Arial Black" w:eastAsia="Times New Roman" w:hAnsi="Arial Black"/>
            <w:color w:val="2F5496"/>
          </w:rPr>
          <w:t>Broadcast</w:t>
        </w:r>
      </w:hyperlink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field: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left.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women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grinding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mill: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left.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Watch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E0865">
        <w:rPr>
          <w:rFonts w:eastAsia="Times New Roman"/>
          <w:i/>
          <w:iCs/>
          <w:color w:val="222222"/>
        </w:rPr>
        <w:t>this,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master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thief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watched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broken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into.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ready,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expect.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5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24:40-44</w:t>
        </w:r>
      </w:hyperlink>
      <w:r w:rsidRPr="009E0865">
        <w:rPr>
          <w:rFonts w:eastAsia="Times New Roman"/>
          <w:color w:val="222222"/>
        </w:rPr>
        <w:t>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Philip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Mauro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said,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“We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greatly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fear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tendency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observable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quarters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God.”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Scripture,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fashion,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event</w:t>
      </w:r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ignore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detrimental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method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study.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6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24:4-39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7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24:40-25:30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likewise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8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25:31-46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consummative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Olivet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Discourse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intimately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related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dealings.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(the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co-heirs)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hyperlink r:id="rId9" w:history="1">
        <w:r w:rsidRPr="009E0865">
          <w:rPr>
            <w:rFonts w:eastAsia="Times New Roman"/>
            <w:i/>
            <w:iCs/>
            <w:color w:val="0062B5"/>
          </w:rPr>
          <w:t>Hebrews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E0865">
          <w:rPr>
            <w:rFonts w:eastAsia="Times New Roman"/>
            <w:i/>
            <w:iCs/>
            <w:color w:val="0062B5"/>
          </w:rPr>
          <w:t>2:10</w:t>
        </w:r>
      </w:hyperlink>
      <w:r w:rsidRPr="009E0865">
        <w:rPr>
          <w:rFonts w:eastAsia="Times New Roman"/>
          <w:i/>
          <w:iCs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acquire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(</w:t>
      </w:r>
      <w:hyperlink r:id="rId10" w:history="1">
        <w:r w:rsidRPr="009E0865">
          <w:rPr>
            <w:rFonts w:eastAsia="Times New Roman"/>
            <w:i/>
            <w:iCs/>
            <w:color w:val="0062B5"/>
          </w:rPr>
          <w:t>Genesis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E0865">
          <w:rPr>
            <w:rFonts w:eastAsia="Times New Roman"/>
            <w:i/>
            <w:iCs/>
            <w:color w:val="0062B5"/>
          </w:rPr>
          <w:t>24</w:t>
        </w:r>
      </w:hyperlink>
      <w:r w:rsidRPr="009E0865">
        <w:rPr>
          <w:rFonts w:eastAsia="Times New Roman"/>
          <w:i/>
          <w:iCs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12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masculine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feminine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respects.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[firstborn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sons],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wife].</w:t>
      </w:r>
    </w:p>
    <w:p w:rsidR="009E0865" w:rsidRPr="009E0865" w:rsidRDefault="009E0865" w:rsidP="009E0865">
      <w:pPr>
        <w:shd w:val="clear" w:color="auto" w:fill="FFFFFF"/>
        <w:ind w:left="12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12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r w:rsidRPr="009E0865">
        <w:rPr>
          <w:rFonts w:eastAsia="Times New Roman"/>
          <w:i/>
          <w:iCs/>
          <w:color w:val="222222"/>
        </w:rPr>
        <w:t>sonship</w:t>
      </w:r>
      <w:r w:rsidRPr="009E086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[only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realm];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because,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Genesis,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consort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[God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Church].)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companions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“partakers”]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lastRenderedPageBreak/>
        <w:t>“</w:t>
      </w:r>
      <w:r w:rsidRPr="009E0865">
        <w:rPr>
          <w:rFonts w:eastAsia="Times New Roman"/>
          <w:i/>
          <w:iCs/>
          <w:color w:val="222222"/>
        </w:rPr>
        <w:t>joint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heirs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9E0865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8:17-23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9E0865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1:9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9E0865">
          <w:rPr>
            <w:rFonts w:eastAsia="Times New Roman"/>
            <w:color w:val="0062B5"/>
          </w:rPr>
          <w:t>3:1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9E0865">
          <w:rPr>
            <w:rFonts w:eastAsia="Times New Roman"/>
            <w:color w:val="0062B5"/>
          </w:rPr>
          <w:t>14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consort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Olivet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about.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b/>
          <w:bCs/>
          <w:color w:val="222222"/>
        </w:rPr>
        <w:t>Responsibility,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Accountability,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Goal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perspective.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dealings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(Christians)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times,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view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complete,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composite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threefold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fashion</w:t>
      </w:r>
      <w:r w:rsidRPr="009E0865">
        <w:rPr>
          <w:rFonts w:eastAsia="Times New Roman"/>
          <w:color w:val="222222"/>
        </w:rPr>
        <w:t>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responsibility.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accountability.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responsibility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purpose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glory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5" w:history="1">
        <w:r w:rsidRPr="009E0865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2:12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cf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9E0865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5:1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9E0865">
          <w:rPr>
            <w:rFonts w:eastAsia="Times New Roman"/>
            <w:color w:val="0062B5"/>
          </w:rPr>
          <w:t>10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9E0865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1:3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hell”)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</w:t>
      </w:r>
      <w:r w:rsidRPr="009E0865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glory</w:t>
      </w:r>
      <w:r w:rsidRPr="009E0865">
        <w:rPr>
          <w:rFonts w:eastAsia="Times New Roman"/>
          <w:color w:val="222222"/>
        </w:rPr>
        <w:t>”).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“Responsibility,”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demands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accountability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responsibility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righteous,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omnipotent,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omniscient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9" w:history="1">
        <w:r w:rsidRPr="009E086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1:12-20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review,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follows.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age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rendered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Olivet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20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24:4-39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21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25:31-46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mankind)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 w:rsidRPr="009E0865">
        <w:rPr>
          <w:rFonts w:eastAsia="Times New Roman"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evident,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broader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moves,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e.g</w:t>
      </w:r>
      <w:r w:rsidRPr="009E086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9E0865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15:24-28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9E086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21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9E0865">
          <w:rPr>
            <w:rFonts w:eastAsia="Times New Roman"/>
            <w:color w:val="0062B5"/>
          </w:rPr>
          <w:t>22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scepter,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earth;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emphasis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changes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Scripture</w:t>
      </w:r>
      <w:r w:rsidRPr="009E0865">
        <w:rPr>
          <w:rFonts w:eastAsia="Times New Roman"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(Jew,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Gentile),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Scripture,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objective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view.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25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24:45-51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9E0865">
          <w:rPr>
            <w:rFonts w:eastAsia="Times New Roman"/>
            <w:color w:val="0062B5"/>
          </w:rPr>
          <w:t>25:14-30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“ruler”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focal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24:47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9E0865">
          <w:rPr>
            <w:rFonts w:eastAsia="Times New Roman"/>
            <w:color w:val="0062B5"/>
          </w:rPr>
          <w:t>25:21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9E0865">
          <w:rPr>
            <w:rFonts w:eastAsia="Times New Roman"/>
            <w:color w:val="0062B5"/>
          </w:rPr>
          <w:t>23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0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24:40-44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9E0865">
          <w:rPr>
            <w:rFonts w:eastAsia="Times New Roman"/>
            <w:color w:val="0062B5"/>
          </w:rPr>
          <w:t>25:1-13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fashion: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2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24:40-44</w:t>
        </w:r>
      </w:hyperlink>
      <w:r w:rsidRPr="009E086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3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24:45-51</w:t>
        </w:r>
      </w:hyperlink>
      <w:r w:rsidRPr="009E086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4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25:1-13</w:t>
        </w:r>
      </w:hyperlink>
      <w:r w:rsidRPr="009E086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[literal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rendering,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1-13,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consequently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24:40-51</w:t>
        </w:r>
      </w:hyperlink>
      <w:r w:rsidRPr="009E0865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6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25:14-30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then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Then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parable/parables.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7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24:40-44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closes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exhortation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Watch,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Ready,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expect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38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24:42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9E0865">
          <w:rPr>
            <w:rFonts w:eastAsia="Times New Roman"/>
            <w:color w:val="0062B5"/>
          </w:rPr>
          <w:t>44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40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24:45-51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40-44).</w:t>
      </w:r>
      <w:r>
        <w:rPr>
          <w:rFonts w:eastAsia="Times New Roman"/>
          <w:color w:val="222222"/>
        </w:rPr>
        <w:t xml:space="preserve">  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45-51]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information,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helping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40-44].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servants,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clearer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41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25:14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italics,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hosper</w:t>
      </w:r>
      <w:proofErr w:type="spellEnd"/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connecting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particle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“just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“even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as.”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42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24:37-38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talents.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connective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preceded,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(or,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faithfulness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unfaithfulness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servants,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resulting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accorded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denied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entrance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festivities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b/>
          <w:bCs/>
          <w:color w:val="222222"/>
        </w:rPr>
        <w:t>RECEIVED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TURNED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AWAY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left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misunderstood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expositors.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misunderstanding,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mistakenly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rapture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mistake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field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mill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places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case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grinding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(representative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occupations)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reckon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servants;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reckoning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mill,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rapture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reckoning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“taken”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43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24:40-41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paralambano</w:t>
      </w:r>
      <w:proofErr w:type="spellEnd"/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para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(“beside,”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“alongside”)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lambano</w:t>
      </w:r>
      <w:proofErr w:type="spellEnd"/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take,”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receive”).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receiving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alongside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oneself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17:1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9E0865">
          <w:rPr>
            <w:rFonts w:eastAsia="Times New Roman"/>
            <w:color w:val="0062B5"/>
          </w:rPr>
          <w:t>20:17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paralambano</w:t>
      </w:r>
      <w:proofErr w:type="spellEnd"/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“associate”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“companion,”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“left”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46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24:40-41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aphiemi</w:t>
      </w:r>
      <w:proofErr w:type="spellEnd"/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antithetical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paralambano</w:t>
      </w:r>
      <w:proofErr w:type="spellEnd"/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paralambano</w:t>
      </w:r>
      <w:proofErr w:type="spellEnd"/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used,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aphiemi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“turn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away.”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intimate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sense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opposite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sense.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servant,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walks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heaven.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Watch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counted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worthy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pass,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47" w:history="1">
        <w:r w:rsidRPr="009E0865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21:36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(usually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selective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rapture);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correct.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24:40-44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49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24:45-51</w:t>
        </w:r>
      </w:hyperlink>
      <w:r w:rsidRPr="009E086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50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25:1-13</w:t>
        </w:r>
      </w:hyperlink>
      <w:r w:rsidRPr="009E086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51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25:14-30</w:t>
        </w:r>
      </w:hyperlink>
      <w:r w:rsidRPr="009E0865">
        <w:rPr>
          <w:rFonts w:eastAsia="Times New Roman"/>
          <w:color w:val="222222"/>
        </w:rPr>
        <w:t>]).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understood.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counted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worthy”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“escape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 w:rsidRPr="009E0865">
        <w:rPr>
          <w:rFonts w:eastAsia="Times New Roman"/>
          <w:color w:val="222222"/>
        </w:rPr>
        <w:t>.”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counted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worthy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prevail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winning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victory]”;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r w:rsidRPr="009E0865">
        <w:rPr>
          <w:rFonts w:eastAsia="Times New Roman"/>
          <w:i/>
          <w:iCs/>
          <w:color w:val="222222"/>
        </w:rPr>
        <w:t>lit.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‘escape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of’]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“surfeiting,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drunkenness,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cares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52" w:history="1">
        <w:r w:rsidRPr="009E0865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21:34-35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exhorting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watch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53" w:history="1">
        <w:r w:rsidRPr="009E0865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6:18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9E0865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6:10-17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Weymouth,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captures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NASB):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Beware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slumbering;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strengthened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evils,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Wuest’s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“Expanded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Translation”: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circumspect,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attentive,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ready,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season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prayer,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sufficient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escaping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“watch”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“pray”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linear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(continuous)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continually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watching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(always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alert,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guard)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continually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praying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practices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 w:rsidRPr="009E0865">
        <w:rPr>
          <w:rFonts w:eastAsia="Times New Roman"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“Escape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aorist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infinitive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eventual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i.e</w:t>
      </w:r>
      <w:r w:rsidRPr="009E086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watching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praying).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Weymouth’s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occasions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times.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one-time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rapture),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occurrences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Wuest’s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privileged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Man.</w:t>
      </w:r>
      <w:r w:rsidRPr="009E0865">
        <w:rPr>
          <w:rFonts w:eastAsia="Times New Roman"/>
          <w:color w:val="222222"/>
        </w:rPr>
        <w:t>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Aorist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misunderstood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misused.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misunderstanding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tenses.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“aorist”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anglicized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aoratos</w:t>
      </w:r>
      <w:proofErr w:type="spellEnd"/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“unseen,”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“invisible”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proofErr w:type="spellStart"/>
      <w:r w:rsidRPr="009E0865">
        <w:rPr>
          <w:rFonts w:eastAsia="Times New Roman"/>
          <w:i/>
          <w:iCs/>
          <w:color w:val="222222"/>
        </w:rPr>
        <w:t>aoratos</w:t>
      </w:r>
      <w:proofErr w:type="spellEnd"/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horatos</w:t>
      </w:r>
      <w:proofErr w:type="spellEnd"/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negated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prefix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aoratos</w:t>
      </w:r>
      <w:proofErr w:type="spellEnd"/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see”].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“tense”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grammar,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“action”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[unseen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action].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aorist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occurring,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progress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[which,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seen].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linear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[continuous,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punctiliar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[occurring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time].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12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misunderstanding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misuse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aorist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meaning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tense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itself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states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can’t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occurring,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invariably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erroneously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viewed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punctiliar.</w:t>
      </w:r>
    </w:p>
    <w:p w:rsidR="009E0865" w:rsidRPr="009E0865" w:rsidRDefault="009E0865" w:rsidP="009E0865">
      <w:pPr>
        <w:shd w:val="clear" w:color="auto" w:fill="FFFFFF"/>
        <w:ind w:left="12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12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paper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grammar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books]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dot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(whether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linear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punctiliar).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misleads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punctiliar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dot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isn’t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all].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tense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linear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punctiliar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action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punctiliar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linear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understood.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believes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9E0865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3:15-16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participle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except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56" w:history="1">
        <w:r w:rsidRPr="009E0865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3:14</w:t>
        </w:r>
      </w:hyperlink>
      <w:r w:rsidRPr="009E086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linear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respect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punctiliar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i.e.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14),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way)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15-16)].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believes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9E0865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1:16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participle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understood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linear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believing,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[note,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belief,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saved].)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58" w:history="1">
        <w:r w:rsidRPr="009E0865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21:34-36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intimate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59" w:history="1">
        <w:r w:rsidRPr="009E0865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24:40-44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9E0865">
          <w:rPr>
            <w:rFonts w:eastAsia="Times New Roman"/>
            <w:color w:val="0062B5"/>
          </w:rPr>
          <w:t>Psalms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24:3-4</w:t>
        </w:r>
      </w:hyperlink>
      <w:r w:rsidRPr="009E0865">
        <w:rPr>
          <w:rFonts w:eastAsia="Times New Roman"/>
          <w:color w:val="222222"/>
        </w:rPr>
        <w:t>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LORD?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place?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clean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pure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heart,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lifted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idol,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sworn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deceitfully.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Psalm;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9E0865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21:36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[referring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‘kingdom’;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9E0865">
          <w:rPr>
            <w:rFonts w:eastAsia="Times New Roman"/>
            <w:color w:val="0062B5"/>
          </w:rPr>
          <w:t>Psalms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2:6</w:t>
        </w:r>
      </w:hyperlink>
      <w:r w:rsidRPr="009E086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“before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“associates”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“companions”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9E0865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1:9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9E0865">
          <w:rPr>
            <w:rFonts w:eastAsia="Times New Roman"/>
            <w:color w:val="0062B5"/>
          </w:rPr>
          <w:t>3:1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9E0865">
          <w:rPr>
            <w:rFonts w:eastAsia="Times New Roman"/>
            <w:color w:val="0062B5"/>
          </w:rPr>
          <w:t>14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“fellows”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[1:9,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KJV]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“partakers”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[3:1,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14]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proofErr w:type="spellStart"/>
      <w:r w:rsidRPr="009E0865">
        <w:rPr>
          <w:rFonts w:eastAsia="Times New Roman"/>
          <w:i/>
          <w:iCs/>
          <w:color w:val="222222"/>
        </w:rPr>
        <w:t>metochoi</w:t>
      </w:r>
      <w:proofErr w:type="spellEnd"/>
      <w:r w:rsidRPr="009E086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rendered,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“associates”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c</w:t>
      </w:r>
      <w:r w:rsidRPr="009E0865">
        <w:rPr>
          <w:rFonts w:eastAsia="Times New Roman"/>
          <w:i/>
          <w:iCs/>
          <w:color w:val="222222"/>
          <w:sz w:val="27"/>
          <w:szCs w:val="27"/>
        </w:rPr>
        <w:t>ompanions</w:t>
      </w:r>
      <w:r w:rsidRPr="009E0865">
        <w:rPr>
          <w:rFonts w:eastAsia="Times New Roman"/>
          <w:color w:val="222222"/>
          <w:sz w:val="27"/>
          <w:szCs w:val="27"/>
        </w:rPr>
        <w:t>”).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9E0865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21:36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Philadelphia,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9E0865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E0865">
          <w:rPr>
            <w:rFonts w:eastAsia="Times New Roman"/>
            <w:color w:val="0062B5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trial.</w:t>
      </w:r>
      <w:r w:rsidRPr="009E0865">
        <w:rPr>
          <w:rFonts w:eastAsia="Times New Roman"/>
          <w:color w:val="222222"/>
        </w:rPr>
        <w:t>”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10,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Pillar,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City,”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[</w:t>
      </w:r>
      <w:hyperlink r:id="rId68" w:history="1">
        <w:r w:rsidRPr="009E086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Pillar,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City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from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Judgment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Seat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Christ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Chitwood</w:t>
        </w:r>
      </w:hyperlink>
      <w:r w:rsidRPr="009E0865">
        <w:rPr>
          <w:rFonts w:eastAsia="Times New Roman"/>
          <w:color w:val="222222"/>
        </w:rPr>
        <w:t>].)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b/>
          <w:bCs/>
          <w:color w:val="222222"/>
        </w:rPr>
        <w:t>SAVING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E0865">
        <w:rPr>
          <w:rFonts w:eastAsia="Times New Roman"/>
          <w:b/>
          <w:bCs/>
          <w:color w:val="222222"/>
        </w:rPr>
        <w:t>LIFE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24:40-44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intimate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occasion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setting.</w:t>
      </w:r>
      <w:r>
        <w:rPr>
          <w:rFonts w:eastAsia="Times New Roman"/>
          <w:color w:val="222222"/>
        </w:rPr>
        <w:t xml:space="preserve">  </w:t>
      </w:r>
      <w:hyperlink r:id="rId70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17:34-36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exhortation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saving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losing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</w:t>
      </w:r>
      <w:r w:rsidRPr="009E0865">
        <w:rPr>
          <w:rFonts w:eastAsia="Times New Roman"/>
          <w:i/>
          <w:iCs/>
          <w:color w:val="222222"/>
        </w:rPr>
        <w:t>soul</w:t>
      </w:r>
      <w:r w:rsidRPr="009E0865">
        <w:rPr>
          <w:rFonts w:eastAsia="Times New Roman"/>
          <w:color w:val="222222"/>
        </w:rPr>
        <w:t>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32-33).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paralambano</w:t>
      </w:r>
      <w:proofErr w:type="spellEnd"/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9E0865">
        <w:rPr>
          <w:rFonts w:eastAsia="Times New Roman"/>
          <w:i/>
          <w:iCs/>
          <w:color w:val="222222"/>
        </w:rPr>
        <w:t>aphiemi</w:t>
      </w:r>
      <w:proofErr w:type="spellEnd"/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24:40-41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rejection,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17:34-36</w:t>
        </w:r>
      </w:hyperlink>
      <w:r w:rsidRPr="009E0865">
        <w:rPr>
          <w:rFonts w:eastAsia="Times New Roman"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Reception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watchfulness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42-46).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73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17:22-37</w:t>
        </w:r>
      </w:hyperlink>
      <w:r w:rsidRPr="009E086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watchfulness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</w:t>
      </w:r>
      <w:r w:rsidRPr="009E0865">
        <w:rPr>
          <w:rFonts w:eastAsia="Times New Roman"/>
          <w:i/>
          <w:iCs/>
          <w:color w:val="222222"/>
        </w:rPr>
        <w:t>soul</w:t>
      </w:r>
      <w:r w:rsidRPr="009E0865">
        <w:rPr>
          <w:rFonts w:eastAsia="Times New Roman"/>
          <w:color w:val="222222"/>
        </w:rPr>
        <w:t>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33).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unprepared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watching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16:24-28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9E0865">
          <w:rPr>
            <w:rFonts w:eastAsia="Times New Roman"/>
            <w:color w:val="0062B5"/>
            <w:u w:val="single"/>
          </w:rPr>
          <w:t>24:48-51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17:33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17:23-27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9E0865">
          <w:rPr>
            <w:rFonts w:eastAsia="Times New Roman"/>
            <w:color w:val="0062B5"/>
            <w:u w:val="single"/>
          </w:rPr>
          <w:t>31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9E0865">
          <w:rPr>
            <w:rFonts w:eastAsia="Times New Roman"/>
            <w:color w:val="0062B5"/>
            <w:u w:val="single"/>
          </w:rPr>
          <w:t>37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24:17-18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9E0865">
          <w:rPr>
            <w:rFonts w:eastAsia="Times New Roman"/>
            <w:color w:val="0062B5"/>
            <w:u w:val="single"/>
          </w:rPr>
          <w:t>23-28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9E0865">
          <w:rPr>
            <w:rFonts w:eastAsia="Times New Roman"/>
            <w:color w:val="0062B5"/>
            <w:u w:val="single"/>
          </w:rPr>
          <w:t>37-39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expositors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“Jewish.”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24:4-25:30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84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24:4-39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17:23-31</w:t>
        </w:r>
      </w:hyperlink>
      <w:r w:rsidRPr="009E0865">
        <w:rPr>
          <w:rFonts w:eastAsia="Times New Roman"/>
          <w:color w:val="222222"/>
        </w:rPr>
        <w:t>];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86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24:40-25:30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17:32-37</w:t>
        </w:r>
      </w:hyperlink>
      <w:r w:rsidRPr="009E0865">
        <w:rPr>
          <w:rFonts w:eastAsia="Times New Roman"/>
          <w:color w:val="222222"/>
        </w:rPr>
        <w:t>]).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(Types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Noah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Lot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r w:rsidRPr="009E0865">
        <w:rPr>
          <w:rFonts w:eastAsia="Times New Roman"/>
          <w:i/>
          <w:iCs/>
          <w:color w:val="222222"/>
        </w:rPr>
        <w:t>e.g.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Jonah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experiences,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Sons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88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12:40</w:t>
        </w:r>
      </w:hyperlink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Israe</w:t>
      </w:r>
      <w:r w:rsidRPr="009E0865">
        <w:rPr>
          <w:rFonts w:eastAsia="Times New Roman"/>
          <w:color w:val="222222"/>
        </w:rPr>
        <w:t>l);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9E0865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11:1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2:15</w:t>
        </w:r>
      </w:hyperlink>
      <w:r w:rsidRPr="009E0865">
        <w:rPr>
          <w:rFonts w:eastAsia="Times New Roman"/>
          <w:color w:val="222222"/>
        </w:rPr>
        <w:t>].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dual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Christians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17:28-29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well.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eagles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hovering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carcass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24:28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discourse</w:t>
      </w:r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17:37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r w:rsidRPr="009E0865">
        <w:rPr>
          <w:rFonts w:eastAsia="Times New Roman"/>
          <w:i/>
          <w:iCs/>
          <w:color w:val="222222"/>
        </w:rPr>
        <w:t>ref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9E086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Lord’s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Return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Chitwood</w:t>
        </w:r>
      </w:hyperlink>
      <w:r w:rsidRPr="009E0865">
        <w:rPr>
          <w:rFonts w:eastAsia="Times New Roman"/>
          <w:color w:val="222222"/>
        </w:rPr>
        <w:t>].)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implied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warning,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behind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you!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practices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behind,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lying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signifying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told,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destroyed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95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19:17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moving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calling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relating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calling</w:t>
      </w:r>
      <w:r w:rsidRPr="009E0865">
        <w:rPr>
          <w:rFonts w:eastAsia="Times New Roman"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significant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wife: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fell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husband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daughters.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pillar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salt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96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19:16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9E0865">
          <w:rPr>
            <w:rFonts w:eastAsia="Times New Roman"/>
            <w:color w:val="0062B5"/>
            <w:u w:val="single"/>
          </w:rPr>
          <w:t>26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seventeen,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drew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</w:t>
      </w:r>
      <w:r w:rsidRPr="009E0865">
        <w:rPr>
          <w:rFonts w:eastAsia="Times New Roman"/>
          <w:i/>
          <w:iCs/>
          <w:color w:val="222222"/>
        </w:rPr>
        <w:t>soul</w:t>
      </w:r>
      <w:r w:rsidRPr="009E0865">
        <w:rPr>
          <w:rFonts w:eastAsia="Times New Roman"/>
          <w:color w:val="222222"/>
        </w:rPr>
        <w:t>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98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17:33</w:t>
        </w:r>
      </w:hyperlink>
      <w:r w:rsidRPr="009E086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intimate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99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17:34-36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told,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</w:t>
      </w:r>
      <w:r w:rsidRPr="009E0865">
        <w:rPr>
          <w:rFonts w:eastAsia="Times New Roman"/>
          <w:i/>
          <w:iCs/>
          <w:color w:val="222222"/>
        </w:rPr>
        <w:t>!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behind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anywhere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plain.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[consumed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‘in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iniquity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city’]”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00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19:17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19:15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Lot’s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Sodom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plain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(signifying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destroyed)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(signifying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ministry,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one,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plow,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back,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fit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02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9:62</w:t>
        </w:r>
      </w:hyperlink>
      <w:r w:rsidRPr="009E0865">
        <w:rPr>
          <w:rFonts w:eastAsia="Times New Roman"/>
          <w:color w:val="222222"/>
        </w:rPr>
        <w:t>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looking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watch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pray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21:36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action.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task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(putting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plough)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task.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direction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direction.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fixed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ahead,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unfit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kingdom”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9E086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1:8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05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19:26-31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dangers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plain</w:t>
      </w:r>
      <w:r w:rsidRPr="009E0865">
        <w:rPr>
          <w:rFonts w:eastAsia="Times New Roman"/>
          <w:color w:val="222222"/>
        </w:rPr>
        <w:t>.”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attitudes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interests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changing.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mountain.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travel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direction,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interests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direction.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diametrically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goal.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gate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Sodom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cities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internal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06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19:1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civil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legal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matters;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them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mindset,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acquired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decades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lingered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destruction;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daughters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physically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07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19:16</w:t>
        </w:r>
      </w:hyperlink>
      <w:r w:rsidRPr="009E086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command,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back.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plain”)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familiar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(“the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mountain”)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apparently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about.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wrapped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involvement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affairs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lead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Sodom,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everything</w:t>
      </w:r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plain),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involvement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WHOSOEVER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SEEKS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proofErr w:type="gramStart"/>
      <w:r w:rsidRPr="009E0865">
        <w:rPr>
          <w:rFonts w:eastAsia="Times New Roman"/>
          <w:color w:val="222222"/>
        </w:rPr>
        <w:t>.</w:t>
      </w:r>
      <w:proofErr w:type="gramEnd"/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intimate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08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17:32-36</w:t>
        </w:r>
      </w:hyperlink>
      <w:r w:rsidRPr="009E0865">
        <w:rPr>
          <w:rFonts w:eastAsia="Times New Roman"/>
          <w:color w:val="222222"/>
        </w:rPr>
        <w:t>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32)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33)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34-36).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inverse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fixed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ahead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plain</w:t>
      </w:r>
      <w:r w:rsidRPr="009E086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33)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intimate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34-36).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befell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plain.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alike)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befall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system,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Tribulation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world.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109" w:history="1">
        <w:r w:rsidRPr="009E086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1-6</w:t>
        </w:r>
      </w:hyperlink>
      <w:r w:rsidRPr="009E086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type.)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verities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back.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contrasted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</w:t>
      </w:r>
      <w:r w:rsidRPr="009E0865">
        <w:rPr>
          <w:rFonts w:eastAsia="Times New Roman"/>
          <w:color w:val="222222"/>
        </w:rPr>
        <w:t>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intimate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9E086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21:36</w:t>
        </w:r>
      </w:hyperlink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granted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privilege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stand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Man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privilege.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contrasting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analysis,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nineteen.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mountain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markedly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different.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stood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111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19:27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cf</w:t>
      </w:r>
      <w:r w:rsidRPr="009E086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12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18:22</w:t>
        </w:r>
      </w:hyperlink>
      <w:r w:rsidRPr="009E0865">
        <w:rPr>
          <w:rFonts w:eastAsia="Times New Roman"/>
          <w:color w:val="222222"/>
        </w:rPr>
        <w:t>].</w:t>
      </w: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60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mountain,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</w:t>
      </w:r>
      <w:hyperlink r:id="rId113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19:30-38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9E086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13:10-12</w:t>
        </w:r>
      </w:hyperlink>
      <w:r w:rsidRPr="009E0865">
        <w:rPr>
          <w:rFonts w:eastAsia="Times New Roman"/>
          <w:color w:val="222222"/>
        </w:rPr>
        <w:t>)].)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[‘soul’].”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verities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view</w:t>
      </w:r>
      <w:r w:rsidRPr="009E086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association.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foreign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serve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obscure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subject.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Notice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illustration:</w:t>
      </w:r>
      <w:r>
        <w:rPr>
          <w:rFonts w:eastAsia="Times New Roman"/>
          <w:color w:val="222222"/>
        </w:rPr>
        <w:t xml:space="preserve">  </w:t>
      </w:r>
      <w:hyperlink r:id="rId115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16:24-27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9E086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1:21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9E086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1:9</w:t>
        </w:r>
      </w:hyperlink>
      <w:r w:rsidRPr="009E0865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Matthew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rewards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hyperlink r:id="rId118" w:history="1">
        <w:r w:rsidRPr="009E086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16:27</w:t>
        </w:r>
      </w:hyperlink>
      <w:r w:rsidRPr="009E086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James</w:t>
      </w:r>
      <w:r w:rsidRPr="009E086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justification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</w:t>
      </w:r>
      <w:r w:rsidRPr="009E086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9" w:history="1">
        <w:r w:rsidRPr="009E086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E0865">
          <w:rPr>
            <w:rFonts w:eastAsia="Times New Roman"/>
            <w:color w:val="0062B5"/>
            <w:u w:val="single"/>
          </w:rPr>
          <w:t>1:21-22</w:t>
        </w:r>
      </w:hyperlink>
      <w:r w:rsidRPr="009E086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9E0865">
          <w:rPr>
            <w:rFonts w:eastAsia="Times New Roman"/>
            <w:color w:val="0062B5"/>
            <w:u w:val="single"/>
          </w:rPr>
          <w:t>2:14-26</w:t>
        </w:r>
      </w:hyperlink>
      <w:r w:rsidRPr="009E086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1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Peter,</w:t>
      </w:r>
      <w:r w:rsidRPr="009E086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color w:val="222222"/>
        </w:rPr>
        <w:t>“</w:t>
      </w:r>
      <w:r w:rsidRPr="009E086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[goal]”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E0865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(works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calling).</w:t>
      </w: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9E0865" w:rsidRPr="009E0865" w:rsidRDefault="009E0865" w:rsidP="009E0865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9E086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see,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E086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9E0865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E0865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E0865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9E0865">
          <w:rPr>
            <w:rFonts w:eastAsia="Times New Roman"/>
            <w:color w:val="2F5496"/>
            <w:u w:val="single"/>
          </w:rPr>
          <w:t>Soul</w:t>
        </w:r>
      </w:hyperlink>
      <w:r w:rsidRPr="009E0865">
        <w:rPr>
          <w:rFonts w:eastAsia="Times New Roman"/>
          <w:color w:val="222222"/>
        </w:rPr>
        <w:t>.)</w:t>
      </w:r>
    </w:p>
    <w:sectPr w:rsidR="009E0865" w:rsidRPr="009E086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5"/>
    <w:rsid w:val="00774C51"/>
    <w:rsid w:val="009E086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22BC-9C9D-42E1-825E-1077ED9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865"/>
  </w:style>
  <w:style w:type="character" w:styleId="FollowedHyperlink">
    <w:name w:val="FollowedHyperlink"/>
    <w:basedOn w:val="DefaultParagraphFont"/>
    <w:uiPriority w:val="99"/>
    <w:semiHidden/>
    <w:unhideWhenUsed/>
    <w:rsid w:val="009E08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1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2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8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7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757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79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8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82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69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4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809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4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9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10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698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00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6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6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6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2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12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77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519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42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Matthew+25.14-30&amp;t=NKJV" TargetMode="External"/><Relationship Id="rId117" Type="http://schemas.openxmlformats.org/officeDocument/2006/relationships/hyperlink" Target="https://www.blueletterbible.org/search/preSearch.cfm?Criteria=1Peter+1.9&amp;t=NKJV" TargetMode="External"/><Relationship Id="rId21" Type="http://schemas.openxmlformats.org/officeDocument/2006/relationships/hyperlink" Target="https://www.blueletterbible.org/search/preSearch.cfm?Criteria=Matthew+25.31-46&amp;t=NKJV" TargetMode="External"/><Relationship Id="rId42" Type="http://schemas.openxmlformats.org/officeDocument/2006/relationships/hyperlink" Target="https://www.blueletterbible.org/search/preSearch.cfm?Criteria=Matthew+24.37-38&amp;t=NKJV" TargetMode="External"/><Relationship Id="rId47" Type="http://schemas.openxmlformats.org/officeDocument/2006/relationships/hyperlink" Target="https://www.blueletterbible.org/search/preSearch.cfm?Criteria=Luke+21.36&amp;t=NKJV" TargetMode="External"/><Relationship Id="rId63" Type="http://schemas.openxmlformats.org/officeDocument/2006/relationships/hyperlink" Target="https://www.blueletterbible.org/search/preSearch.cfm?Criteria=Hebrews+1.9&amp;t=NKJV" TargetMode="External"/><Relationship Id="rId68" Type="http://schemas.openxmlformats.org/officeDocument/2006/relationships/hyperlink" Target="http://bibleone.net/JSC10.htm" TargetMode="External"/><Relationship Id="rId84" Type="http://schemas.openxmlformats.org/officeDocument/2006/relationships/hyperlink" Target="https://www.blueletterbible.org/search/preSearch.cfm?Criteria=Matthew+24.4-39&amp;t=NKJV" TargetMode="External"/><Relationship Id="rId89" Type="http://schemas.openxmlformats.org/officeDocument/2006/relationships/hyperlink" Target="https://www.blueletterbible.org/search/preSearch.cfm?Criteria=Hosea+11.1&amp;t=NKJV" TargetMode="External"/><Relationship Id="rId112" Type="http://schemas.openxmlformats.org/officeDocument/2006/relationships/hyperlink" Target="https://www.blueletterbible.org/search/preSearch.cfm?Criteria=Genesis+18.22&amp;t=NKJV" TargetMode="External"/><Relationship Id="rId16" Type="http://schemas.openxmlformats.org/officeDocument/2006/relationships/hyperlink" Target="https://www.blueletterbible.org/search/preSearch.cfm?Criteria=1Peter+5.1&amp;t=NKJV" TargetMode="External"/><Relationship Id="rId107" Type="http://schemas.openxmlformats.org/officeDocument/2006/relationships/hyperlink" Target="https://www.blueletterbible.org/search/preSearch.cfm?Criteria=Genesis+19.16&amp;t=NKJV" TargetMode="External"/><Relationship Id="rId11" Type="http://schemas.openxmlformats.org/officeDocument/2006/relationships/hyperlink" Target="https://www.blueletterbible.org/search/preSearch.cfm?Criteria=Romans+8.17-23&amp;t=NKJV" TargetMode="External"/><Relationship Id="rId32" Type="http://schemas.openxmlformats.org/officeDocument/2006/relationships/hyperlink" Target="https://www.blueletterbible.org/search/preSearch.cfm?Criteria=Matthew+24.40-44&amp;t=NKJV" TargetMode="External"/><Relationship Id="rId37" Type="http://schemas.openxmlformats.org/officeDocument/2006/relationships/hyperlink" Target="https://www.blueletterbible.org/search/preSearch.cfm?Criteria=Matthew+24.40-44&amp;t=NKJV" TargetMode="External"/><Relationship Id="rId53" Type="http://schemas.openxmlformats.org/officeDocument/2006/relationships/hyperlink" Target="https://www.blueletterbible.org/search/preSearch.cfm?Criteria=Ephesians+6.18&amp;t=NKJV" TargetMode="External"/><Relationship Id="rId58" Type="http://schemas.openxmlformats.org/officeDocument/2006/relationships/hyperlink" Target="https://www.blueletterbible.org/search/preSearch.cfm?Criteria=Luke+21.34-36&amp;t=NKJV" TargetMode="External"/><Relationship Id="rId74" Type="http://schemas.openxmlformats.org/officeDocument/2006/relationships/hyperlink" Target="https://www.blueletterbible.org/search/preSearch.cfm?Criteria=Matthew+16.24-28&amp;t=NKJV" TargetMode="External"/><Relationship Id="rId79" Type="http://schemas.openxmlformats.org/officeDocument/2006/relationships/hyperlink" Target="https://www.blueletterbible.org/search/preSearch.cfm?Criteria=Luke+17.37&amp;t=NKJV" TargetMode="External"/><Relationship Id="rId102" Type="http://schemas.openxmlformats.org/officeDocument/2006/relationships/hyperlink" Target="https://www.blueletterbible.org/search/preSearch.cfm?Criteria=Luke+9.62&amp;t=NKJV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Matthew+24.40-44&amp;t=NKJV" TargetMode="External"/><Relationship Id="rId61" Type="http://schemas.openxmlformats.org/officeDocument/2006/relationships/hyperlink" Target="https://www.blueletterbible.org/search/preSearch.cfm?Criteria=Luke+21.36&amp;t=NKJV" TargetMode="External"/><Relationship Id="rId82" Type="http://schemas.openxmlformats.org/officeDocument/2006/relationships/hyperlink" Target="https://www.blueletterbible.org/search/preSearch.cfm?Criteria=Matthew+24.37-39&amp;t=NKJV" TargetMode="External"/><Relationship Id="rId90" Type="http://schemas.openxmlformats.org/officeDocument/2006/relationships/hyperlink" Target="https://www.blueletterbible.org/search/preSearch.cfm?Criteria=Matthew+2.15&amp;t=NKJV" TargetMode="External"/><Relationship Id="rId95" Type="http://schemas.openxmlformats.org/officeDocument/2006/relationships/hyperlink" Target="https://www.blueletterbible.org/search/preSearch.cfm?Criteria=Genesis+19.17&amp;t=NKJV" TargetMode="External"/><Relationship Id="rId19" Type="http://schemas.openxmlformats.org/officeDocument/2006/relationships/hyperlink" Target="https://www.blueletterbible.org/search/preSearch.cfm?Criteria=Revelation+1.12-20&amp;t=NKJV" TargetMode="External"/><Relationship Id="rId14" Type="http://schemas.openxmlformats.org/officeDocument/2006/relationships/hyperlink" Target="https://www.blueletterbible.org/search/preSearch.cfm?Criteria=Hebrews+3.14&amp;t=NKJV" TargetMode="External"/><Relationship Id="rId22" Type="http://schemas.openxmlformats.org/officeDocument/2006/relationships/hyperlink" Target="https://www.blueletterbible.org/search/preSearch.cfm?Criteria=1Corinthians+15.24-28&amp;t=NKJV" TargetMode="External"/><Relationship Id="rId27" Type="http://schemas.openxmlformats.org/officeDocument/2006/relationships/hyperlink" Target="https://www.blueletterbible.org/search/preSearch.cfm?Criteria=Matthew+24.47&amp;t=NKJV" TargetMode="External"/><Relationship Id="rId30" Type="http://schemas.openxmlformats.org/officeDocument/2006/relationships/hyperlink" Target="https://www.blueletterbible.org/search/preSearch.cfm?Criteria=Matthew+24.40-44&amp;t=NKJV" TargetMode="External"/><Relationship Id="rId35" Type="http://schemas.openxmlformats.org/officeDocument/2006/relationships/hyperlink" Target="https://www.blueletterbible.org/search/preSearch.cfm?Criteria=Matthew+24.40-51&amp;t=NKJV" TargetMode="External"/><Relationship Id="rId43" Type="http://schemas.openxmlformats.org/officeDocument/2006/relationships/hyperlink" Target="https://www.blueletterbible.org/search/preSearch.cfm?Criteria=Matthew+24.40-41&amp;t=NKJV" TargetMode="External"/><Relationship Id="rId48" Type="http://schemas.openxmlformats.org/officeDocument/2006/relationships/hyperlink" Target="https://www.blueletterbible.org/search/preSearch.cfm?Criteria=Matthew+24.40-44&amp;t=NKJV" TargetMode="External"/><Relationship Id="rId56" Type="http://schemas.openxmlformats.org/officeDocument/2006/relationships/hyperlink" Target="https://www.blueletterbible.org/search/preSearch.cfm?Criteria=John+3.14&amp;t=NKJV" TargetMode="External"/><Relationship Id="rId64" Type="http://schemas.openxmlformats.org/officeDocument/2006/relationships/hyperlink" Target="https://www.blueletterbible.org/search/preSearch.cfm?Criteria=Hebrews+3.1&amp;t=NKJV" TargetMode="External"/><Relationship Id="rId69" Type="http://schemas.openxmlformats.org/officeDocument/2006/relationships/hyperlink" Target="https://www.blueletterbible.org/search/preSearch.cfm?Criteria=Matthew+24.40-44&amp;t=NKJV" TargetMode="External"/><Relationship Id="rId77" Type="http://schemas.openxmlformats.org/officeDocument/2006/relationships/hyperlink" Target="https://www.blueletterbible.org/search/preSearch.cfm?Criteria=Luke+17.23-27&amp;t=NKJV" TargetMode="External"/><Relationship Id="rId100" Type="http://schemas.openxmlformats.org/officeDocument/2006/relationships/hyperlink" Target="https://www.blueletterbible.org/search/preSearch.cfm?Criteria=Genesis+19.17&amp;t=NKJV" TargetMode="External"/><Relationship Id="rId105" Type="http://schemas.openxmlformats.org/officeDocument/2006/relationships/hyperlink" Target="https://www.blueletterbible.org/search/preSearch.cfm?Criteria=Genesis+19.26-31&amp;t=NKJV" TargetMode="External"/><Relationship Id="rId113" Type="http://schemas.openxmlformats.org/officeDocument/2006/relationships/hyperlink" Target="https://www.blueletterbible.org/search/preSearch.cfm?Criteria=Genesis+19.30-38&amp;t=NKJV" TargetMode="External"/><Relationship Id="rId118" Type="http://schemas.openxmlformats.org/officeDocument/2006/relationships/hyperlink" Target="https://www.blueletterbible.org/search/preSearch.cfm?Criteria=Matthew+16.27&amp;t=NKJV" TargetMode="External"/><Relationship Id="rId8" Type="http://schemas.openxmlformats.org/officeDocument/2006/relationships/hyperlink" Target="https://www.blueletterbible.org/search/preSearch.cfm?Criteria=Matthew+25.31-46&amp;t=NKJV" TargetMode="External"/><Relationship Id="rId51" Type="http://schemas.openxmlformats.org/officeDocument/2006/relationships/hyperlink" Target="https://www.blueletterbible.org/search/preSearch.cfm?Criteria=Matthew+25.14-30&amp;t=NKJV" TargetMode="External"/><Relationship Id="rId72" Type="http://schemas.openxmlformats.org/officeDocument/2006/relationships/hyperlink" Target="https://www.blueletterbible.org/search/preSearch.cfm?Criteria=Luke+17.34-36&amp;t=NKJV" TargetMode="External"/><Relationship Id="rId80" Type="http://schemas.openxmlformats.org/officeDocument/2006/relationships/hyperlink" Target="https://www.blueletterbible.org/search/preSearch.cfm?Criteria=Matthew+24.17-18&amp;t=NKJV" TargetMode="External"/><Relationship Id="rId85" Type="http://schemas.openxmlformats.org/officeDocument/2006/relationships/hyperlink" Target="https://www.blueletterbible.org/search/preSearch.cfm?Criteria=Luke+17.23-31&amp;t=NKJV" TargetMode="External"/><Relationship Id="rId93" Type="http://schemas.openxmlformats.org/officeDocument/2006/relationships/hyperlink" Target="https://www.blueletterbible.org/search/preSearch.cfm?Criteria=Luke+17.37&amp;t=NKJV" TargetMode="External"/><Relationship Id="rId98" Type="http://schemas.openxmlformats.org/officeDocument/2006/relationships/hyperlink" Target="https://www.blueletterbible.org/search/preSearch.cfm?Criteria=Luke+17.33&amp;t=NKJV" TargetMode="External"/><Relationship Id="rId121" Type="http://schemas.openxmlformats.org/officeDocument/2006/relationships/hyperlink" Target="https://www.koffeekupkandor.com/salvation-of-the-soul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Hebrews+1.9&amp;t=NKJV" TargetMode="External"/><Relationship Id="rId17" Type="http://schemas.openxmlformats.org/officeDocument/2006/relationships/hyperlink" Target="https://www.blueletterbible.org/search/preSearch.cfm?Criteria=1Peter+5.10&amp;t=NKJV" TargetMode="External"/><Relationship Id="rId25" Type="http://schemas.openxmlformats.org/officeDocument/2006/relationships/hyperlink" Target="https://www.blueletterbible.org/search/preSearch.cfm?Criteria=Matthew+24.45-51&amp;t=NKJV" TargetMode="External"/><Relationship Id="rId33" Type="http://schemas.openxmlformats.org/officeDocument/2006/relationships/hyperlink" Target="https://www.blueletterbible.org/search/preSearch.cfm?Criteria=Matthew+24.45-51&amp;t=NKJV" TargetMode="External"/><Relationship Id="rId38" Type="http://schemas.openxmlformats.org/officeDocument/2006/relationships/hyperlink" Target="https://www.blueletterbible.org/search/preSearch.cfm?Criteria=Matthew+24.42&amp;t=NKJV" TargetMode="External"/><Relationship Id="rId46" Type="http://schemas.openxmlformats.org/officeDocument/2006/relationships/hyperlink" Target="https://www.blueletterbible.org/search/preSearch.cfm?Criteria=Matthew+24.40-41&amp;t=NKJV" TargetMode="External"/><Relationship Id="rId59" Type="http://schemas.openxmlformats.org/officeDocument/2006/relationships/hyperlink" Target="https://www.blueletterbible.org/search/preSearch.cfm?Criteria=Matthew+24.40-44&amp;t=NKJV" TargetMode="External"/><Relationship Id="rId67" Type="http://schemas.openxmlformats.org/officeDocument/2006/relationships/hyperlink" Target="https://www.blueletterbible.org/search/preSearch.cfm?Criteria=Revelation+3.10&amp;t=NKJV" TargetMode="External"/><Relationship Id="rId103" Type="http://schemas.openxmlformats.org/officeDocument/2006/relationships/hyperlink" Target="https://www.blueletterbible.org/search/preSearch.cfm?Criteria=Luke+21.36&amp;t=NKJV" TargetMode="External"/><Relationship Id="rId108" Type="http://schemas.openxmlformats.org/officeDocument/2006/relationships/hyperlink" Target="https://www.blueletterbible.org/search/preSearch.cfm?Criteria=Luke+17.32-36&amp;t=NKJV" TargetMode="External"/><Relationship Id="rId116" Type="http://schemas.openxmlformats.org/officeDocument/2006/relationships/hyperlink" Target="https://www.blueletterbible.org/search/preSearch.cfm?Criteria=James+1.21&amp;t=NKJV" TargetMode="External"/><Relationship Id="rId20" Type="http://schemas.openxmlformats.org/officeDocument/2006/relationships/hyperlink" Target="https://www.blueletterbible.org/search/preSearch.cfm?Criteria=Matthew+24.4-39&amp;t=NKJV" TargetMode="External"/><Relationship Id="rId41" Type="http://schemas.openxmlformats.org/officeDocument/2006/relationships/hyperlink" Target="https://www.blueletterbible.org/search/preSearch.cfm?Criteria=Matthew+25.14&amp;t=NKJV" TargetMode="External"/><Relationship Id="rId54" Type="http://schemas.openxmlformats.org/officeDocument/2006/relationships/hyperlink" Target="https://www.blueletterbible.org/search/preSearch.cfm?Criteria=Ephesians+6.10-17&amp;t=NKJV" TargetMode="External"/><Relationship Id="rId62" Type="http://schemas.openxmlformats.org/officeDocument/2006/relationships/hyperlink" Target="https://www.blueletterbible.org/search/preSearch.cfm?Criteria=Psalms+2.6&amp;t=NKJV" TargetMode="External"/><Relationship Id="rId70" Type="http://schemas.openxmlformats.org/officeDocument/2006/relationships/hyperlink" Target="https://www.blueletterbible.org/search/preSearch.cfm?Criteria=Luke+17.34-36&amp;t=NKJV" TargetMode="External"/><Relationship Id="rId75" Type="http://schemas.openxmlformats.org/officeDocument/2006/relationships/hyperlink" Target="https://www.blueletterbible.org/search/preSearch.cfm?Criteria=Matthew+24.48-51&amp;t=NKJV" TargetMode="External"/><Relationship Id="rId83" Type="http://schemas.openxmlformats.org/officeDocument/2006/relationships/hyperlink" Target="https://www.blueletterbible.org/search/preSearch.cfm?Criteria=Matthew+24.4-25.30&amp;t=NKJV" TargetMode="External"/><Relationship Id="rId88" Type="http://schemas.openxmlformats.org/officeDocument/2006/relationships/hyperlink" Target="https://www.blueletterbible.org/search/preSearch.cfm?Criteria=Matthew+12.40&amp;t=NKJV" TargetMode="External"/><Relationship Id="rId91" Type="http://schemas.openxmlformats.org/officeDocument/2006/relationships/hyperlink" Target="https://www.blueletterbible.org/search/preSearch.cfm?Criteria=Luke+17.28-29&amp;t=NKJV" TargetMode="External"/><Relationship Id="rId96" Type="http://schemas.openxmlformats.org/officeDocument/2006/relationships/hyperlink" Target="https://www.blueletterbible.org/search/preSearch.cfm?Criteria=Genesis+19.16&amp;t=NKJV" TargetMode="External"/><Relationship Id="rId111" Type="http://schemas.openxmlformats.org/officeDocument/2006/relationships/hyperlink" Target="https://www.blueletterbible.org/search/preSearch.cfm?Criteria=Genesis+19.2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4.4-39&amp;t=NKJV" TargetMode="External"/><Relationship Id="rId15" Type="http://schemas.openxmlformats.org/officeDocument/2006/relationships/hyperlink" Target="https://www.blueletterbible.org/search/preSearch.cfm?Criteria=1Thessalonians+2.12&amp;t=NKJV" TargetMode="External"/><Relationship Id="rId23" Type="http://schemas.openxmlformats.org/officeDocument/2006/relationships/hyperlink" Target="https://www.blueletterbible.org/search/preSearch.cfm?Criteria=Revelation+21&amp;t=NKJV" TargetMode="External"/><Relationship Id="rId28" Type="http://schemas.openxmlformats.org/officeDocument/2006/relationships/hyperlink" Target="https://www.blueletterbible.org/search/preSearch.cfm?Criteria=Matthew+25.21&amp;t=NKJV" TargetMode="External"/><Relationship Id="rId36" Type="http://schemas.openxmlformats.org/officeDocument/2006/relationships/hyperlink" Target="https://www.blueletterbible.org/search/preSearch.cfm?Criteria=Matthew+25.14-30&amp;t=NKJV" TargetMode="External"/><Relationship Id="rId49" Type="http://schemas.openxmlformats.org/officeDocument/2006/relationships/hyperlink" Target="https://www.blueletterbible.org/search/preSearch.cfm?Criteria=Matthew+24.45-51&amp;t=NKJV" TargetMode="External"/><Relationship Id="rId57" Type="http://schemas.openxmlformats.org/officeDocument/2006/relationships/hyperlink" Target="https://www.blueletterbible.org/search/preSearch.cfm?Criteria=Romans+1.16&amp;t=NKJV" TargetMode="External"/><Relationship Id="rId106" Type="http://schemas.openxmlformats.org/officeDocument/2006/relationships/hyperlink" Target="https://www.blueletterbible.org/search/preSearch.cfm?Criteria=Genesis+19.1&amp;t=NKJV" TargetMode="External"/><Relationship Id="rId114" Type="http://schemas.openxmlformats.org/officeDocument/2006/relationships/hyperlink" Target="https://www.blueletterbible.org/search/preSearch.cfm?Criteria=Genesis+13.10-12&amp;t=NKJV" TargetMode="External"/><Relationship Id="rId119" Type="http://schemas.openxmlformats.org/officeDocument/2006/relationships/hyperlink" Target="https://www.blueletterbible.org/search/preSearch.cfm?Criteria=James+1.21-22&amp;t=NKJV" TargetMode="External"/><Relationship Id="rId10" Type="http://schemas.openxmlformats.org/officeDocument/2006/relationships/hyperlink" Target="https://www.blueletterbible.org/search/preSearch.cfm?Criteria=Genesis+24&amp;t=NKJV" TargetMode="External"/><Relationship Id="rId31" Type="http://schemas.openxmlformats.org/officeDocument/2006/relationships/hyperlink" Target="https://www.blueletterbible.org/search/preSearch.cfm?Criteria=Matthew+25.1-13&amp;t=NKJV" TargetMode="External"/><Relationship Id="rId44" Type="http://schemas.openxmlformats.org/officeDocument/2006/relationships/hyperlink" Target="https://www.blueletterbible.org/search/preSearch.cfm?Criteria=Matthew+17.1&amp;t=NKJV" TargetMode="External"/><Relationship Id="rId52" Type="http://schemas.openxmlformats.org/officeDocument/2006/relationships/hyperlink" Target="https://www.blueletterbible.org/search/preSearch.cfm?Criteria=Luke+21.34-35&amp;t=NKJV" TargetMode="External"/><Relationship Id="rId60" Type="http://schemas.openxmlformats.org/officeDocument/2006/relationships/hyperlink" Target="https://www.blueletterbible.org/search/preSearch.cfm?Criteria=Psalms+24.3-4&amp;t=NKJV" TargetMode="External"/><Relationship Id="rId65" Type="http://schemas.openxmlformats.org/officeDocument/2006/relationships/hyperlink" Target="https://www.blueletterbible.org/search/preSearch.cfm?Criteria=Hebrews+3.14&amp;t=NKJV" TargetMode="External"/><Relationship Id="rId73" Type="http://schemas.openxmlformats.org/officeDocument/2006/relationships/hyperlink" Target="https://www.blueletterbible.org/search/preSearch.cfm?Criteria=Luke+17.22-37&amp;t=NKJV" TargetMode="External"/><Relationship Id="rId78" Type="http://schemas.openxmlformats.org/officeDocument/2006/relationships/hyperlink" Target="https://www.blueletterbible.org/search/preSearch.cfm?Criteria=Luke+17.31&amp;t=NKJV" TargetMode="External"/><Relationship Id="rId81" Type="http://schemas.openxmlformats.org/officeDocument/2006/relationships/hyperlink" Target="https://www.blueletterbible.org/search/preSearch.cfm?Criteria=Matthew+24.23-28&amp;t=NKJV" TargetMode="External"/><Relationship Id="rId86" Type="http://schemas.openxmlformats.org/officeDocument/2006/relationships/hyperlink" Target="https://www.blueletterbible.org/search/preSearch.cfm?Criteria=Matthew+24.40-25.30&amp;t=NKJV" TargetMode="External"/><Relationship Id="rId94" Type="http://schemas.openxmlformats.org/officeDocument/2006/relationships/hyperlink" Target="http://bibleone.net/POMO_07.htm" TargetMode="External"/><Relationship Id="rId99" Type="http://schemas.openxmlformats.org/officeDocument/2006/relationships/hyperlink" Target="https://www.blueletterbible.org/search/preSearch.cfm?Criteria=Luke+17.34-36&amp;t=NKJV" TargetMode="External"/><Relationship Id="rId101" Type="http://schemas.openxmlformats.org/officeDocument/2006/relationships/hyperlink" Target="https://www.blueletterbible.org/search/preSearch.cfm?Criteria=Genesis+19.15&amp;t=NKJV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2.10&amp;t=NKJV" TargetMode="External"/><Relationship Id="rId13" Type="http://schemas.openxmlformats.org/officeDocument/2006/relationships/hyperlink" Target="https://www.blueletterbible.org/search/preSearch.cfm?Criteria=Hebrews+3.1&amp;t=NKJV" TargetMode="External"/><Relationship Id="rId18" Type="http://schemas.openxmlformats.org/officeDocument/2006/relationships/hyperlink" Target="https://www.blueletterbible.org/search/preSearch.cfm?Criteria=2Peter+1.3&amp;t=NKJV" TargetMode="External"/><Relationship Id="rId39" Type="http://schemas.openxmlformats.org/officeDocument/2006/relationships/hyperlink" Target="https://www.blueletterbible.org/search/preSearch.cfm?Criteria=Matthew+24.44&amp;t=NKJV" TargetMode="External"/><Relationship Id="rId109" Type="http://schemas.openxmlformats.org/officeDocument/2006/relationships/hyperlink" Target="https://www.blueletterbible.org/search/preSearch.cfm?Criteria=Revelation+1-6&amp;t=NKJV" TargetMode="External"/><Relationship Id="rId34" Type="http://schemas.openxmlformats.org/officeDocument/2006/relationships/hyperlink" Target="https://www.blueletterbible.org/search/preSearch.cfm?Criteria=Matthew+25.1-13&amp;t=NKJV" TargetMode="External"/><Relationship Id="rId50" Type="http://schemas.openxmlformats.org/officeDocument/2006/relationships/hyperlink" Target="https://www.blueletterbible.org/search/preSearch.cfm?Criteria=Matthew+25.1-13&amp;t=NKJV" TargetMode="External"/><Relationship Id="rId55" Type="http://schemas.openxmlformats.org/officeDocument/2006/relationships/hyperlink" Target="https://www.blueletterbible.org/search/preSearch.cfm?Criteria=John+3.15-16&amp;t=NKJV" TargetMode="External"/><Relationship Id="rId76" Type="http://schemas.openxmlformats.org/officeDocument/2006/relationships/hyperlink" Target="https://www.blueletterbible.org/search/preSearch.cfm?Criteria=Luke+17.33&amp;t=NKJV" TargetMode="External"/><Relationship Id="rId97" Type="http://schemas.openxmlformats.org/officeDocument/2006/relationships/hyperlink" Target="https://www.blueletterbible.org/search/preSearch.cfm?Criteria=Genesis+19.26&amp;t=NKJV" TargetMode="External"/><Relationship Id="rId104" Type="http://schemas.openxmlformats.org/officeDocument/2006/relationships/hyperlink" Target="https://www.blueletterbible.org/search/preSearch.cfm?Criteria=James+1.8&amp;t=NKJV" TargetMode="External"/><Relationship Id="rId120" Type="http://schemas.openxmlformats.org/officeDocument/2006/relationships/hyperlink" Target="https://www.blueletterbible.org/search/preSearch.cfm?Criteria=James+2.14-26&amp;t=NKJV" TargetMode="External"/><Relationship Id="rId7" Type="http://schemas.openxmlformats.org/officeDocument/2006/relationships/hyperlink" Target="https://www.blueletterbible.org/search/preSearch.cfm?Criteria=Matthew+24.40-25.30&amp;t=NKJV" TargetMode="External"/><Relationship Id="rId71" Type="http://schemas.openxmlformats.org/officeDocument/2006/relationships/hyperlink" Target="https://www.blueletterbible.org/search/preSearch.cfm?Criteria=Matthew+24.40-41&amp;t=NKJV" TargetMode="External"/><Relationship Id="rId92" Type="http://schemas.openxmlformats.org/officeDocument/2006/relationships/hyperlink" Target="https://www.blueletterbible.org/search/preSearch.cfm?Criteria=Matthew+24.28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Matthew+25.23&amp;t=NKJV" TargetMode="External"/><Relationship Id="rId24" Type="http://schemas.openxmlformats.org/officeDocument/2006/relationships/hyperlink" Target="https://www.blueletterbible.org/search/preSearch.cfm?Criteria=Revelation+22&amp;t=NKJV" TargetMode="External"/><Relationship Id="rId40" Type="http://schemas.openxmlformats.org/officeDocument/2006/relationships/hyperlink" Target="https://www.blueletterbible.org/search/preSearch.cfm?Criteria=Matthew+24.45-51&amp;t=NKJV" TargetMode="External"/><Relationship Id="rId45" Type="http://schemas.openxmlformats.org/officeDocument/2006/relationships/hyperlink" Target="https://www.blueletterbible.org/search/preSearch.cfm?Criteria=Matthew+20.17&amp;t=NKJV" TargetMode="External"/><Relationship Id="rId66" Type="http://schemas.openxmlformats.org/officeDocument/2006/relationships/hyperlink" Target="https://www.blueletterbible.org/search/preSearch.cfm?Criteria=Luke+21.36&amp;t=NKJV" TargetMode="External"/><Relationship Id="rId87" Type="http://schemas.openxmlformats.org/officeDocument/2006/relationships/hyperlink" Target="https://www.blueletterbible.org/search/preSearch.cfm?Criteria=Luke+17.32-37&amp;t=NKJV" TargetMode="External"/><Relationship Id="rId110" Type="http://schemas.openxmlformats.org/officeDocument/2006/relationships/hyperlink" Target="https://www.blueletterbible.org/search/preSearch.cfm?Criteria=Luke+21.36&amp;t=NKJV" TargetMode="External"/><Relationship Id="rId115" Type="http://schemas.openxmlformats.org/officeDocument/2006/relationships/hyperlink" Target="https://www.blueletterbible.org/search/preSearch.cfm?Criteria=Matthew+16.24-2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6623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2020-09-20T08:01:00Z</dcterms:created>
  <dcterms:modified xsi:type="dcterms:W3CDTF">2020-09-20T08:07:00Z</dcterms:modified>
</cp:coreProperties>
</file>