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88" w:rsidRDefault="00B61988" w:rsidP="00B61988">
      <w:pPr>
        <w:ind w:left="0"/>
        <w:rPr>
          <w:rFonts w:eastAsia="Times New Roman"/>
          <w:b/>
          <w:bCs/>
          <w:color w:val="auto"/>
        </w:rPr>
      </w:pPr>
      <w:r w:rsidRPr="00B61988">
        <w:rPr>
          <w:rFonts w:eastAsia="Times New Roman"/>
          <w:b/>
          <w:bCs/>
          <w:color w:val="auto"/>
        </w:rPr>
        <w:t>All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Christians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possess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Holy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Spirit.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He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i/>
          <w:iCs/>
          <w:color w:val="auto"/>
        </w:rPr>
        <w:t>indwells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every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Christian.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But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not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every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Christian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has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extra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supply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Oil.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Not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every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Christian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is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i/>
          <w:iCs/>
          <w:color w:val="auto"/>
        </w:rPr>
        <w:t>filled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with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Holy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Spirit.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And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when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Christians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are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called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to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an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accounting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—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at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“</w:t>
      </w:r>
      <w:r w:rsidRPr="00B61988">
        <w:rPr>
          <w:rFonts w:eastAsia="Times New Roman"/>
          <w:b/>
          <w:bCs/>
          <w:i/>
          <w:iCs/>
          <w:color w:val="auto"/>
        </w:rPr>
        <w:t>midnight</w:t>
      </w:r>
      <w:r w:rsidRPr="00B61988">
        <w:rPr>
          <w:rFonts w:eastAsia="Times New Roman"/>
          <w:b/>
          <w:bCs/>
          <w:color w:val="auto"/>
        </w:rPr>
        <w:t>”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—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only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those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filled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with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Spirit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will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be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allowed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to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enter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into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marriage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festivities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with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Bridegroom.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</w:p>
    <w:p w:rsidR="00B61988" w:rsidRPr="00B61988" w:rsidRDefault="00B61988" w:rsidP="00B61988">
      <w:pPr>
        <w:ind w:left="0"/>
        <w:rPr>
          <w:rFonts w:eastAsia="Times New Roman"/>
          <w:b/>
          <w:color w:val="auto"/>
          <w:sz w:val="32"/>
          <w:szCs w:val="32"/>
        </w:rPr>
      </w:pPr>
      <w:bookmarkStart w:id="0" w:name="_GoBack"/>
      <w:r w:rsidRPr="00B61988">
        <w:rPr>
          <w:rFonts w:eastAsia="Times New Roman"/>
          <w:b/>
          <w:color w:val="auto"/>
          <w:sz w:val="32"/>
          <w:szCs w:val="32"/>
        </w:rPr>
        <w:t>Preparation</w:t>
      </w:r>
      <w:r>
        <w:rPr>
          <w:rFonts w:eastAsia="Times New Roman"/>
          <w:b/>
          <w:color w:val="auto"/>
          <w:sz w:val="32"/>
          <w:szCs w:val="32"/>
        </w:rPr>
        <w:t xml:space="preserve"> </w:t>
      </w:r>
      <w:r w:rsidRPr="00B61988">
        <w:rPr>
          <w:rFonts w:eastAsia="Times New Roman"/>
          <w:b/>
          <w:color w:val="auto"/>
          <w:sz w:val="32"/>
          <w:szCs w:val="32"/>
        </w:rPr>
        <w:t>for</w:t>
      </w:r>
      <w:r>
        <w:rPr>
          <w:rFonts w:eastAsia="Times New Roman"/>
          <w:b/>
          <w:color w:val="auto"/>
          <w:sz w:val="32"/>
          <w:szCs w:val="32"/>
        </w:rPr>
        <w:t xml:space="preserve"> </w:t>
      </w:r>
      <w:r w:rsidRPr="00B61988">
        <w:rPr>
          <w:rFonts w:eastAsia="Times New Roman"/>
          <w:b/>
          <w:color w:val="auto"/>
          <w:sz w:val="32"/>
          <w:szCs w:val="32"/>
        </w:rPr>
        <w:t>Meeting</w:t>
      </w:r>
      <w:r>
        <w:rPr>
          <w:rFonts w:eastAsia="Times New Roman"/>
          <w:b/>
          <w:color w:val="auto"/>
          <w:sz w:val="32"/>
          <w:szCs w:val="32"/>
        </w:rPr>
        <w:t xml:space="preserve"> </w:t>
      </w:r>
      <w:r w:rsidRPr="00B61988">
        <w:rPr>
          <w:rFonts w:eastAsia="Times New Roman"/>
          <w:b/>
          <w:color w:val="auto"/>
          <w:sz w:val="32"/>
          <w:szCs w:val="32"/>
        </w:rPr>
        <w:t>the</w:t>
      </w:r>
      <w:r>
        <w:rPr>
          <w:rFonts w:eastAsia="Times New Roman"/>
          <w:b/>
          <w:color w:val="auto"/>
          <w:sz w:val="32"/>
          <w:szCs w:val="32"/>
        </w:rPr>
        <w:t xml:space="preserve"> </w:t>
      </w:r>
      <w:r w:rsidRPr="00B61988">
        <w:rPr>
          <w:rFonts w:eastAsia="Times New Roman"/>
          <w:b/>
          <w:color w:val="auto"/>
          <w:sz w:val="32"/>
          <w:szCs w:val="32"/>
        </w:rPr>
        <w:t>Bridegroom</w:t>
      </w:r>
      <w:bookmarkEnd w:id="0"/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b/>
          <w:bCs/>
          <w:color w:val="auto"/>
        </w:rPr>
        <w:t>By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Arlen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Chitwood</w:t>
      </w:r>
      <w:r>
        <w:rPr>
          <w:rFonts w:eastAsia="Times New Roman"/>
          <w:b/>
          <w:bCs/>
          <w:color w:val="auto"/>
        </w:rPr>
        <w:t xml:space="preserve"> </w:t>
      </w:r>
      <w:r w:rsidRPr="00B61988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4" w:history="1">
        <w:r w:rsidRPr="00B61988">
          <w:rPr>
            <w:rFonts w:eastAsia="Times New Roman"/>
            <w:b/>
            <w:color w:val="2F5496"/>
            <w:u w:val="single"/>
          </w:rPr>
          <w:t>Lamp Broadcast</w:t>
        </w:r>
      </w:hyperlink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Bridegroom,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subsequently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appearing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r w:rsidRPr="00B61988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5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25:1ff</w:t>
        </w:r>
      </w:hyperlink>
      <w:r w:rsidRPr="00B6198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required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appearing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hear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Lord,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Well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done,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good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faithful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servant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r w:rsidRPr="00B61988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6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25:19-23</w:t>
        </w:r>
      </w:hyperlink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7" w:history="1">
        <w:r w:rsidRPr="00B6198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19:15-19</w:t>
        </w:r>
      </w:hyperlink>
      <w:r w:rsidRPr="00B61988">
        <w:rPr>
          <w:rFonts w:eastAsia="Times New Roman"/>
          <w:color w:val="auto"/>
        </w:rPr>
        <w:t>).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John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Baptist,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seat;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doing,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drew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harvest: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 w:rsidRPr="00B61988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indeed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baptize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[in]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repentance,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coming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me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mightier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than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whose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sandals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am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worthy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carry.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baptize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[in]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Holy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Spirit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fire.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>
        <w:rPr>
          <w:rFonts w:eastAsia="Times New Roman"/>
          <w:i/>
          <w:iCs/>
          <w:color w:val="auto"/>
        </w:rPr>
        <w:t xml:space="preserve"> 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winnowing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fan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hand,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thoroughly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clean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threshing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floor,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gather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wheat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barn;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burn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chaff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unquenchable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fire.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8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3:11-12</w:t>
        </w:r>
      </w:hyperlink>
      <w:r w:rsidRPr="00B61988">
        <w:rPr>
          <w:rFonts w:eastAsia="Times New Roman"/>
          <w:color w:val="auto"/>
        </w:rPr>
        <w:t>)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sheaves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grain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threshed,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followed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winnowing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separate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grain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chaff.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sheaves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grain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beaten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loosen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grain.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mixture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grain,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straw,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chaff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thrown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separate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grain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chaff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stubble.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grain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stored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normally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guarded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ensuing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night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someone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sleeping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site.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value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grain)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separated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value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chaff),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proofErr w:type="gramStart"/>
      <w:r w:rsidRPr="00B61988">
        <w:rPr>
          <w:rFonts w:eastAsia="Times New Roman"/>
          <w:color w:val="auto"/>
        </w:rPr>
        <w:t>is</w:t>
      </w:r>
      <w:proofErr w:type="gramEnd"/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seat.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Christians’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tried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fire,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separation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occur.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comparable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gold,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silver,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precious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stones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endure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fire;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comparable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wood,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hay,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straw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burned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9" w:history="1">
        <w:r w:rsidRPr="00B6198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3:11-15</w:t>
        </w:r>
      </w:hyperlink>
      <w:r w:rsidRPr="00B61988">
        <w:rPr>
          <w:rFonts w:eastAsia="Times New Roman"/>
          <w:color w:val="auto"/>
        </w:rPr>
        <w:t>).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John’s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separation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wheat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chaff,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wheat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gathered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granary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chaff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burned.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preparation,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events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threshing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floor,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follows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outlined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typical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threefold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harvest.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washed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herself,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anointed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herself,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clothed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herself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proper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garments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10" w:history="1">
        <w:r w:rsidRPr="00B61988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3:3</w:t>
        </w:r>
      </w:hyperlink>
      <w:r w:rsidRPr="00B6198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manner,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11" w:history="1">
        <w:r w:rsidRPr="00B61988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3:9ff</w:t>
        </w:r>
      </w:hyperlink>
      <w:r w:rsidRPr="00B61988">
        <w:rPr>
          <w:rFonts w:eastAsia="Times New Roman"/>
          <w:color w:val="auto"/>
        </w:rPr>
        <w:t>):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redemption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inheritance.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becoming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wife.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lastRenderedPageBreak/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midnight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12" w:history="1">
        <w:r w:rsidRPr="00B61988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3:8</w:t>
        </w:r>
      </w:hyperlink>
      <w:r w:rsidRPr="00B6198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foreshadowing,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typically,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judgment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(in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keeping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mention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“midnight”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[used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judgment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hyperlink r:id="rId13" w:history="1">
        <w:r w:rsidRPr="00B6198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11:4</w:t>
        </w:r>
      </w:hyperlink>
      <w:r w:rsidRPr="00B61988">
        <w:rPr>
          <w:rFonts w:eastAsia="Times New Roman"/>
          <w:color w:val="auto"/>
        </w:rPr>
        <w:t>]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14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3:11-12</w:t>
        </w:r>
      </w:hyperlink>
      <w:r w:rsidRPr="00B61988">
        <w:rPr>
          <w:rFonts w:eastAsia="Times New Roman"/>
          <w:color w:val="auto"/>
        </w:rPr>
        <w:t>).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Ruth’s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antitype.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fashion,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midnight,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view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redeemed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becoming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wife</w:t>
      </w:r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likewise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themselves,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fashion,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midnight,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view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redeemed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becoming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wife.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WASH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YOURSELF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“Washing”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defilement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scope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complete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washing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courtyard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tabernacle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entered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priesthood,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repeated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15" w:history="1">
        <w:r w:rsidRPr="00B6198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29:4</w:t>
        </w:r>
      </w:hyperlink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6" w:history="1">
        <w:r w:rsidRPr="00B61988">
          <w:rPr>
            <w:rFonts w:eastAsia="Times New Roman"/>
            <w:color w:val="0062B5"/>
            <w:u w:val="single"/>
          </w:rPr>
          <w:t>40:12-15</w:t>
        </w:r>
      </w:hyperlink>
      <w:r w:rsidRPr="00B6198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Subsequent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washings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parts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brazen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laver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courtyard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tabernacle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ministered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brazen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altar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17" w:history="1">
        <w:r w:rsidRPr="00B6198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30:19-21</w:t>
        </w:r>
      </w:hyperlink>
      <w:r w:rsidRPr="00B6198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hands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feet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became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soiled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carried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brazen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laver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upper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lower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basins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soiled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body.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Washings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thus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senses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complete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one-time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initial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cleansing),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followed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parts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(numerous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subsequent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cleansings).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cleansings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speaking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Peter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8" w:history="1">
        <w:r w:rsidRPr="00B6198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13:8</w:t>
        </w:r>
      </w:hyperlink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19" w:history="1">
        <w:r w:rsidRPr="00B61988">
          <w:rPr>
            <w:rFonts w:eastAsia="Times New Roman"/>
            <w:color w:val="0062B5"/>
            <w:u w:val="single"/>
          </w:rPr>
          <w:t>10b</w:t>
        </w:r>
      </w:hyperlink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[8b]: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 w:rsidRPr="00B61988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wash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[Greek:</w:t>
      </w:r>
      <w:r>
        <w:rPr>
          <w:rFonts w:eastAsia="Times New Roman"/>
          <w:color w:val="auto"/>
        </w:rPr>
        <w:t xml:space="preserve"> </w:t>
      </w:r>
      <w:proofErr w:type="spellStart"/>
      <w:r w:rsidRPr="00B61988">
        <w:rPr>
          <w:rFonts w:eastAsia="Times New Roman"/>
          <w:i/>
          <w:iCs/>
          <w:color w:val="auto"/>
        </w:rPr>
        <w:t>nipto</w:t>
      </w:r>
      <w:proofErr w:type="spellEnd"/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Septuagint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uses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0" w:history="1">
        <w:r w:rsidRPr="00B6198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30:19</w:t>
        </w:r>
      </w:hyperlink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1" w:history="1">
        <w:r w:rsidRPr="00B61988">
          <w:rPr>
            <w:rFonts w:eastAsia="Times New Roman"/>
            <w:color w:val="0062B5"/>
            <w:u w:val="single"/>
          </w:rPr>
          <w:t>21</w:t>
        </w:r>
      </w:hyperlink>
      <w:r w:rsidRPr="00B61988">
        <w:rPr>
          <w:rFonts w:eastAsia="Times New Roman"/>
          <w:color w:val="auto"/>
        </w:rPr>
        <w:t>)]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you,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part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[note: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me,”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me”].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bathed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[Greek:</w:t>
      </w:r>
      <w:r>
        <w:rPr>
          <w:rFonts w:eastAsia="Times New Roman"/>
          <w:color w:val="auto"/>
        </w:rPr>
        <w:t xml:space="preserve"> </w:t>
      </w:r>
      <w:proofErr w:type="spellStart"/>
      <w:r w:rsidRPr="00B61988">
        <w:rPr>
          <w:rFonts w:eastAsia="Times New Roman"/>
          <w:i/>
          <w:iCs/>
          <w:color w:val="auto"/>
        </w:rPr>
        <w:t>louo</w:t>
      </w:r>
      <w:proofErr w:type="spellEnd"/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Septuagint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uses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2" w:history="1">
        <w:r w:rsidRPr="00B6198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29:4</w:t>
        </w:r>
      </w:hyperlink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3" w:history="1">
        <w:r w:rsidRPr="00B61988">
          <w:rPr>
            <w:rFonts w:eastAsia="Times New Roman"/>
            <w:color w:val="0062B5"/>
            <w:u w:val="single"/>
          </w:rPr>
          <w:t>40:12</w:t>
        </w:r>
      </w:hyperlink>
      <w:r w:rsidRPr="00B61988">
        <w:rPr>
          <w:rFonts w:eastAsia="Times New Roman"/>
          <w:color w:val="auto"/>
        </w:rPr>
        <w:t>)]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needs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wash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</w:t>
      </w:r>
      <w:proofErr w:type="spellStart"/>
      <w:r w:rsidRPr="00B61988">
        <w:rPr>
          <w:rFonts w:eastAsia="Times New Roman"/>
          <w:i/>
          <w:iCs/>
          <w:color w:val="auto"/>
        </w:rPr>
        <w:t>nipto</w:t>
      </w:r>
      <w:proofErr w:type="spellEnd"/>
      <w:r w:rsidRPr="00B61988">
        <w:rPr>
          <w:rFonts w:eastAsia="Times New Roman"/>
          <w:color w:val="auto"/>
        </w:rPr>
        <w:t>]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feet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Peter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(described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B61988">
        <w:rPr>
          <w:rFonts w:eastAsia="Times New Roman"/>
          <w:i/>
          <w:iCs/>
          <w:color w:val="auto"/>
        </w:rPr>
        <w:t>louo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[his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body]);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now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needed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continued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(described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B61988">
        <w:rPr>
          <w:rFonts w:eastAsia="Times New Roman"/>
          <w:i/>
          <w:iCs/>
          <w:color w:val="auto"/>
        </w:rPr>
        <w:t>nipto</w:t>
      </w:r>
      <w:proofErr w:type="spellEnd"/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[parts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body]).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continued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with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(contextually,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positions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therein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view).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Bringing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typological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teachings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Peter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thus: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priesthood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24" w:history="1">
        <w:r w:rsidRPr="00B6198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2:5</w:t>
        </w:r>
      </w:hyperlink>
      <w:r w:rsidRPr="00B6198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received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proofErr w:type="spellStart"/>
      <w:r w:rsidRPr="00B61988">
        <w:rPr>
          <w:rFonts w:eastAsia="Times New Roman"/>
          <w:i/>
          <w:iCs/>
          <w:color w:val="auto"/>
        </w:rPr>
        <w:t>louo</w:t>
      </w:r>
      <w:proofErr w:type="spellEnd"/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body)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entered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priesthood,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saved.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Now,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ministering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Lord,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world,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need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continued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partial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proofErr w:type="spellStart"/>
      <w:r w:rsidRPr="00B61988">
        <w:rPr>
          <w:rFonts w:eastAsia="Times New Roman"/>
          <w:i/>
          <w:iCs/>
          <w:color w:val="auto"/>
        </w:rPr>
        <w:t>nipto</w:t>
      </w:r>
      <w:proofErr w:type="spellEnd"/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body).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continued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kingdom.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accomplished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basis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shed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blood,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relation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Christ’s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past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work.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Calvary,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shedding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proofErr w:type="spellStart"/>
      <w:r w:rsidRPr="00B61988">
        <w:rPr>
          <w:rFonts w:eastAsia="Times New Roman"/>
          <w:color w:val="auto"/>
        </w:rPr>
        <w:t>effect</w:t>
      </w:r>
      <w:proofErr w:type="spellEnd"/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redemption.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appropriating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proofErr w:type="spellStart"/>
      <w:r w:rsidRPr="00B61988">
        <w:rPr>
          <w:rFonts w:eastAsia="Times New Roman"/>
          <w:i/>
          <w:iCs/>
          <w:color w:val="auto"/>
        </w:rPr>
        <w:t>louo</w:t>
      </w:r>
      <w:proofErr w:type="spellEnd"/>
      <w:r w:rsidRPr="00B6198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entered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priesthood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(corresponding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parallel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application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5" w:history="1">
        <w:r w:rsidRPr="00B6198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12:1ff</w:t>
        </w:r>
      </w:hyperlink>
      <w:r w:rsidRPr="00B61988">
        <w:rPr>
          <w:rFonts w:eastAsia="Times New Roman"/>
          <w:color w:val="auto"/>
        </w:rPr>
        <w:t>).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lastRenderedPageBreak/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tabernacle,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ministering,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basis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behalf,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Holies,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effect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continued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proofErr w:type="spellStart"/>
      <w:r w:rsidRPr="00B61988">
        <w:rPr>
          <w:rFonts w:eastAsia="Times New Roman"/>
          <w:i/>
          <w:iCs/>
          <w:color w:val="auto"/>
        </w:rPr>
        <w:t>nipto</w:t>
      </w:r>
      <w:proofErr w:type="spellEnd"/>
      <w:r w:rsidRPr="00B6198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kings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priests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26" w:history="1">
        <w:r w:rsidRPr="00B6198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1:6</w:t>
        </w:r>
      </w:hyperlink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7" w:history="1">
        <w:r w:rsidRPr="00B61988">
          <w:rPr>
            <w:rFonts w:eastAsia="Times New Roman"/>
            <w:color w:val="0062B5"/>
            <w:u w:val="single"/>
          </w:rPr>
          <w:t>5:10</w:t>
        </w:r>
      </w:hyperlink>
      <w:r w:rsidRPr="00B6198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forth.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cleansed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proofErr w:type="spellStart"/>
      <w:r w:rsidRPr="00B61988">
        <w:rPr>
          <w:rFonts w:eastAsia="Times New Roman"/>
          <w:i/>
          <w:iCs/>
          <w:color w:val="auto"/>
        </w:rPr>
        <w:t>louo</w:t>
      </w:r>
      <w:proofErr w:type="spellEnd"/>
      <w:r w:rsidRPr="00B6198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accomplishing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plans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purposes.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whereby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keep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clean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proofErr w:type="spellStart"/>
      <w:r w:rsidRPr="00B61988">
        <w:rPr>
          <w:rFonts w:eastAsia="Times New Roman"/>
          <w:i/>
          <w:iCs/>
          <w:color w:val="auto"/>
        </w:rPr>
        <w:t>nipto</w:t>
      </w:r>
      <w:proofErr w:type="spellEnd"/>
      <w:r w:rsidRPr="00B61988">
        <w:rPr>
          <w:rFonts w:eastAsia="Times New Roman"/>
          <w:color w:val="auto"/>
        </w:rPr>
        <w:t>).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occurs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automatically.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impending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likewise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impending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case,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washing,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act.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confess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our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sins</w:t>
      </w:r>
      <w:r w:rsidRPr="00B6198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judging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ourselves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28" w:history="1">
        <w:r w:rsidRPr="00B6198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11:31-32</w:t>
        </w:r>
      </w:hyperlink>
      <w:r w:rsidRPr="00B6198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effects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behalf.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 w:rsidRPr="00B61988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confess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our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sins,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faithful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just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forgive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our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sins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cleanse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unrighteousness.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29" w:history="1">
        <w:r w:rsidRPr="00B6198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1:9</w:t>
        </w:r>
      </w:hyperlink>
      <w:r w:rsidRPr="00B61988">
        <w:rPr>
          <w:rFonts w:eastAsia="Times New Roman"/>
          <w:color w:val="auto"/>
        </w:rPr>
        <w:t>)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ANOINT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YOURSELF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“Oil”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Scriptures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anoint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prophets,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priests,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kings;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oil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empower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service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office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consecrated.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example,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Saul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anointed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30" w:history="1">
        <w:r w:rsidRPr="00B6198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10:1</w:t>
        </w:r>
      </w:hyperlink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1" w:history="1">
        <w:r w:rsidRPr="00B61988">
          <w:rPr>
            <w:rFonts w:eastAsia="Times New Roman"/>
            <w:color w:val="0062B5"/>
            <w:u w:val="single"/>
          </w:rPr>
          <w:t>6</w:t>
        </w:r>
      </w:hyperlink>
      <w:r w:rsidRPr="00B61988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Saul’s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refusal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Amalek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32" w:history="1">
        <w:r w:rsidRPr="00B6198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15:2-3</w:t>
        </w:r>
      </w:hyperlink>
      <w:r w:rsidRPr="00B6198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David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anointed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Saul’s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stead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33" w:history="1">
        <w:r w:rsidRPr="00B6198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16:13</w:t>
        </w:r>
      </w:hyperlink>
      <w:r w:rsidRPr="00B6198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shown,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“oil”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passages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symbolize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Spirit.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Saul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David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anointing,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empowered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tasks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perform.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parable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virgins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4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25:1-13</w:t>
        </w:r>
      </w:hyperlink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issue,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“oil”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symbolically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parable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Testament.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virgins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possessed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oil,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virgins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possessed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extra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supply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oil.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accounting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midnight</w:t>
      </w:r>
      <w:r w:rsidRPr="00B6198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virgins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marriage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festivities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Bridegroom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35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25:6ff</w:t>
        </w:r>
      </w:hyperlink>
      <w:r w:rsidRPr="00B61988">
        <w:rPr>
          <w:rFonts w:eastAsia="Times New Roman"/>
          <w:color w:val="auto"/>
        </w:rPr>
        <w:t>).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possess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Spirit.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indwells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extra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supply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Oil.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every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filled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Spirit.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accounting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midnight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filled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marriage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festivities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Bridegroom.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involved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symbolism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threshing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floor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midnight.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anointing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virgins,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like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fashion,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Bridegroom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midnight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possessing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extra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supply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oil.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lastRenderedPageBreak/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midnight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filled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Spirit.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evident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last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viewed,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inseparable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exists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parts.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PUT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YOUR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GARMENT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clean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anointed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oil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arrayed.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Ruth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going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meet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bridegroom</w:t>
      </w:r>
      <w:r w:rsidRPr="00B6198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Naomi’s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words,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put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best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garment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36" w:history="1">
        <w:r w:rsidRPr="00B61988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3:3</w:t>
        </w:r>
      </w:hyperlink>
      <w:r w:rsidRPr="00B6198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involved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(events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expected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culminate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marriage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Boaz),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special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apparel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occasion.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Ruth’s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apparel,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clothe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reflect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occasion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hand.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facet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preparation,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pointing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preparation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make,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parable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marriage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7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22:1-14</w:t>
        </w:r>
      </w:hyperlink>
      <w:r w:rsidRPr="00B61988">
        <w:rPr>
          <w:rFonts w:eastAsia="Times New Roman"/>
          <w:color w:val="auto"/>
        </w:rPr>
        <w:t>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parable,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appeared,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improperly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clothed,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festivities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marriage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certain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King’s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Son.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appeared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without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wedding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garment</w:t>
      </w:r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denied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festivities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darkness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outside.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60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(A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darkness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outside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outer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darkness</w:t>
      </w:r>
      <w:r w:rsidRPr="00B61988">
        <w:rPr>
          <w:rFonts w:eastAsia="Times New Roman"/>
          <w:color w:val="auto"/>
        </w:rPr>
        <w:t>]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appears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parable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talents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</w:t>
      </w:r>
      <w:hyperlink r:id="rId38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25:30</w:t>
        </w:r>
      </w:hyperlink>
      <w:r w:rsidRPr="00B61988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parable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parable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virgins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39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25:1-13</w:t>
        </w:r>
      </w:hyperlink>
      <w:r w:rsidRPr="00B61988">
        <w:rPr>
          <w:rFonts w:eastAsia="Times New Roman"/>
          <w:color w:val="auto"/>
        </w:rPr>
        <w:t>)],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perspective.)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certain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king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son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0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22:2</w:t>
        </w:r>
      </w:hyperlink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none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Father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Son</w:t>
      </w:r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festivities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marriage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Lamb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view.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1" w:history="1">
        <w:r w:rsidRPr="00B6198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19:7-8</w:t>
        </w:r>
      </w:hyperlink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said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made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herself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ready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having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arrayed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(“array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arrayed”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rendering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2" w:history="1">
        <w:r w:rsidRPr="00B6198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19:8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ASV</w:t>
        </w:r>
      </w:hyperlink>
      <w:r w:rsidRPr="00B6198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fine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linen</w:t>
      </w:r>
      <w:r w:rsidRPr="00B61988">
        <w:rPr>
          <w:rFonts w:eastAsia="Times New Roman"/>
          <w:color w:val="auto"/>
        </w:rPr>
        <w:t>”;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fine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linen</w:t>
      </w:r>
      <w:r w:rsidRPr="00B6198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specifically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said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righteousness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acts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saints</w:t>
      </w:r>
      <w:r w:rsidRPr="00B61988">
        <w:rPr>
          <w:rFonts w:eastAsia="Times New Roman"/>
          <w:color w:val="auto"/>
        </w:rPr>
        <w:t>.”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array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apparel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Bridegroom.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Righteous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acts,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forming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wedding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garment,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emanate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faithfulness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one’s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calling.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emanate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faithfulness;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works,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turn,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goal,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wedding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garment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formed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r w:rsidRPr="00B61988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43" w:history="1">
        <w:r w:rsidRPr="00B6198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11:17-19</w:t>
        </w:r>
      </w:hyperlink>
      <w:r w:rsidRPr="00B6198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44" w:history="1">
        <w:r w:rsidRPr="00B61988">
          <w:rPr>
            <w:rFonts w:eastAsia="Times New Roman"/>
            <w:color w:val="0062B5"/>
            <w:u w:val="single"/>
          </w:rPr>
          <w:t>31</w:t>
        </w:r>
      </w:hyperlink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5" w:history="1">
        <w:r w:rsidRPr="00B61988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2:14-26</w:t>
        </w:r>
      </w:hyperlink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6" w:history="1">
        <w:r w:rsidRPr="00B6198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1:9</w:t>
        </w:r>
      </w:hyperlink>
      <w:r w:rsidRPr="00B61988">
        <w:rPr>
          <w:rFonts w:eastAsia="Times New Roman"/>
          <w:color w:val="auto"/>
        </w:rPr>
        <w:t>).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evident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filled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Ruth’s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preparation,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anointing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perform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righteous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acts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(works)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wedding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garment.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reveals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appear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presence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ways.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possess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wedding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garments,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others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not.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“clothed”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“naked”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distinguish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appearance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manners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</w:t>
      </w:r>
      <w:hyperlink r:id="rId47" w:history="1">
        <w:r w:rsidRPr="00B6198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3:17-18</w:t>
        </w:r>
      </w:hyperlink>
      <w:r w:rsidRPr="00B6198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48" w:history="1">
        <w:r w:rsidRPr="00B6198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8:35</w:t>
        </w:r>
      </w:hyperlink>
      <w:r w:rsidRPr="00B61988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groups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hyperlink r:id="rId49" w:history="1">
        <w:r w:rsidRPr="00B6198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22:10-13</w:t>
        </w:r>
      </w:hyperlink>
      <w:r w:rsidRPr="00B61988">
        <w:rPr>
          <w:rFonts w:eastAsia="Times New Roman"/>
          <w:color w:val="auto"/>
        </w:rPr>
        <w:t>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clothed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(possessing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wedding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garments)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fashion,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improperly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clothed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(lacking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wedding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garments,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naked)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entirely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fashion.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former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marriage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festivities,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subsequently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positions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co-heirs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kingdom,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wife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forming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consort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queen.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latter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denied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marriage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festivities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consequently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forming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wife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consort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queen,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appertains</w:t>
      </w:r>
      <w:r>
        <w:rPr>
          <w:rFonts w:eastAsia="Times New Roman"/>
          <w:color w:val="auto"/>
        </w:rPr>
        <w:t xml:space="preserve"> </w:t>
      </w:r>
      <w:r w:rsidRPr="00B61988">
        <w:rPr>
          <w:rFonts w:eastAsia="Times New Roman"/>
          <w:color w:val="auto"/>
        </w:rPr>
        <w:t>therein.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 w:rsidRPr="00B61988">
        <w:rPr>
          <w:rFonts w:eastAsia="Times New Roman"/>
          <w:i/>
          <w:iCs/>
          <w:color w:val="auto"/>
        </w:rPr>
        <w:t>Accordingly,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part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reign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over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B61988">
        <w:rPr>
          <w:rFonts w:eastAsia="Times New Roman"/>
          <w:i/>
          <w:iCs/>
          <w:color w:val="auto"/>
        </w:rPr>
        <w:t>earth.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B61988" w:rsidRPr="00B61988" w:rsidRDefault="00B61988" w:rsidP="00B61988">
      <w:pPr>
        <w:ind w:left="0"/>
        <w:rPr>
          <w:rFonts w:eastAsia="Times New Roman"/>
          <w:color w:val="auto"/>
        </w:rPr>
      </w:pPr>
      <w:hyperlink r:id="rId50" w:history="1">
        <w:r w:rsidRPr="00B61988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Preparation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for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Meeting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Bridegroom,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Rule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to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Win,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App.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1,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61988">
          <w:rPr>
            <w:rFonts w:eastAsia="Times New Roman"/>
            <w:color w:val="0062B5"/>
            <w:u w:val="single"/>
          </w:rPr>
          <w:t>Chitwood</w:t>
        </w:r>
      </w:hyperlink>
    </w:p>
    <w:sectPr w:rsidR="00B61988" w:rsidRPr="00B61988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8"/>
    <w:rsid w:val="00774C51"/>
    <w:rsid w:val="00B51BB6"/>
    <w:rsid w:val="00B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09306-A694-467F-9F9C-606A8CCC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3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9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0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4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0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Exodus+11.4&amp;t=NKJV" TargetMode="External"/><Relationship Id="rId18" Type="http://schemas.openxmlformats.org/officeDocument/2006/relationships/hyperlink" Target="https://www.blueletterbible.org/search/preSearch.cfm?Criteria=John+13.8&amp;t=NKJV" TargetMode="External"/><Relationship Id="rId26" Type="http://schemas.openxmlformats.org/officeDocument/2006/relationships/hyperlink" Target="https://www.blueletterbible.org/search/preSearch.cfm?Criteria=Revelation+1.6&amp;t=NKJV" TargetMode="External"/><Relationship Id="rId39" Type="http://schemas.openxmlformats.org/officeDocument/2006/relationships/hyperlink" Target="https://www.blueletterbible.org/search/preSearch.cfm?Criteria=Matthew+25.1-13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Exodus+30.21&amp;t=NKJV" TargetMode="External"/><Relationship Id="rId34" Type="http://schemas.openxmlformats.org/officeDocument/2006/relationships/hyperlink" Target="https://www.blueletterbible.org/search/preSearch.cfm?Criteria=Matthew+25.1-13&amp;t=NKJV" TargetMode="External"/><Relationship Id="rId42" Type="http://schemas.openxmlformats.org/officeDocument/2006/relationships/hyperlink" Target="https://www.blueletterbible.org/search/preSearch.cfm?Criteria=Revelation+19.8&amp;t=ASV" TargetMode="External"/><Relationship Id="rId47" Type="http://schemas.openxmlformats.org/officeDocument/2006/relationships/hyperlink" Target="https://www.blueletterbible.org/search/preSearch.cfm?Criteria=Revelation+3.17-18&amp;t=NKJV" TargetMode="External"/><Relationship Id="rId50" Type="http://schemas.openxmlformats.org/officeDocument/2006/relationships/hyperlink" Target="http://bibleone.net/RtW_A1.htm" TargetMode="External"/><Relationship Id="rId7" Type="http://schemas.openxmlformats.org/officeDocument/2006/relationships/hyperlink" Target="https://www.blueletterbible.org/search/preSearch.cfm?Criteria=Luke+19.15-19&amp;t=NKJV" TargetMode="External"/><Relationship Id="rId12" Type="http://schemas.openxmlformats.org/officeDocument/2006/relationships/hyperlink" Target="https://www.blueletterbible.org/search/preSearch.cfm?Criteria=Ruth+3.8&amp;t=NKJV" TargetMode="External"/><Relationship Id="rId17" Type="http://schemas.openxmlformats.org/officeDocument/2006/relationships/hyperlink" Target="https://www.blueletterbible.org/search/preSearch.cfm?Criteria=Exodus+30.19-21&amp;t=NKJV" TargetMode="External"/><Relationship Id="rId25" Type="http://schemas.openxmlformats.org/officeDocument/2006/relationships/hyperlink" Target="https://www.blueletterbible.org/search/preSearch.cfm?Criteria=Exodus+12.1ff&amp;t=NKJV" TargetMode="External"/><Relationship Id="rId33" Type="http://schemas.openxmlformats.org/officeDocument/2006/relationships/hyperlink" Target="https://www.blueletterbible.org/search/preSearch.cfm?Criteria=1Samuel+16.13&amp;t=NKJV" TargetMode="External"/><Relationship Id="rId38" Type="http://schemas.openxmlformats.org/officeDocument/2006/relationships/hyperlink" Target="https://www.blueletterbible.org/search/preSearch.cfm?Criteria=Matthew+25.30&amp;t=NKJV" TargetMode="External"/><Relationship Id="rId46" Type="http://schemas.openxmlformats.org/officeDocument/2006/relationships/hyperlink" Target="https://www.blueletterbible.org/search/preSearch.cfm?Criteria=1Peter+1.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xodus+40.12-15&amp;t=NKJV" TargetMode="External"/><Relationship Id="rId20" Type="http://schemas.openxmlformats.org/officeDocument/2006/relationships/hyperlink" Target="https://www.blueletterbible.org/search/preSearch.cfm?Criteria=Exodus+30.19&amp;t=NKJV" TargetMode="External"/><Relationship Id="rId29" Type="http://schemas.openxmlformats.org/officeDocument/2006/relationships/hyperlink" Target="https://www.blueletterbible.org/search/preSearch.cfm?Criteria=1John+1.9&amp;t=NKJV" TargetMode="External"/><Relationship Id="rId41" Type="http://schemas.openxmlformats.org/officeDocument/2006/relationships/hyperlink" Target="https://www.blueletterbible.org/search/preSearch.cfm?Criteria=Revelation+19.7-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25.19-23&amp;t=NKJV" TargetMode="External"/><Relationship Id="rId11" Type="http://schemas.openxmlformats.org/officeDocument/2006/relationships/hyperlink" Target="https://www.blueletterbible.org/search/preSearch.cfm?Criteria=Ruth+3.9ff&amp;t=NKJV" TargetMode="External"/><Relationship Id="rId24" Type="http://schemas.openxmlformats.org/officeDocument/2006/relationships/hyperlink" Target="https://www.blueletterbible.org/search/preSearch.cfm?Criteria=1Peter+2.5&amp;t=NKJV" TargetMode="External"/><Relationship Id="rId32" Type="http://schemas.openxmlformats.org/officeDocument/2006/relationships/hyperlink" Target="https://www.blueletterbible.org/search/preSearch.cfm?Criteria=1Samuel+15.2-3&amp;t=NKJV" TargetMode="External"/><Relationship Id="rId37" Type="http://schemas.openxmlformats.org/officeDocument/2006/relationships/hyperlink" Target="https://www.blueletterbible.org/search/preSearch.cfm?Criteria=Matthew+22.1-14&amp;t=NKJV" TargetMode="External"/><Relationship Id="rId40" Type="http://schemas.openxmlformats.org/officeDocument/2006/relationships/hyperlink" Target="https://www.blueletterbible.org/search/preSearch.cfm?Criteria=Matthew+22.2&amp;t=NKJV" TargetMode="External"/><Relationship Id="rId45" Type="http://schemas.openxmlformats.org/officeDocument/2006/relationships/hyperlink" Target="https://www.blueletterbible.org/search/preSearch.cfm?Criteria=James+2.14-26&amp;t=NKJV" TargetMode="External"/><Relationship Id="rId5" Type="http://schemas.openxmlformats.org/officeDocument/2006/relationships/hyperlink" Target="https://www.blueletterbible.org/search/preSearch.cfm?Criteria=Matthew+25.1ff&amp;t=NKJV" TargetMode="External"/><Relationship Id="rId15" Type="http://schemas.openxmlformats.org/officeDocument/2006/relationships/hyperlink" Target="https://www.blueletterbible.org/search/preSearch.cfm?Criteria=Exodus+29.4&amp;t=NKJV" TargetMode="External"/><Relationship Id="rId23" Type="http://schemas.openxmlformats.org/officeDocument/2006/relationships/hyperlink" Target="https://www.blueletterbible.org/search/preSearch.cfm?Criteria=Exodus+40.12&amp;t=NKJV" TargetMode="External"/><Relationship Id="rId28" Type="http://schemas.openxmlformats.org/officeDocument/2006/relationships/hyperlink" Target="https://www.blueletterbible.org/search/preSearch.cfm?Criteria=1Corinthians+11.31-32&amp;t=NKJV" TargetMode="External"/><Relationship Id="rId36" Type="http://schemas.openxmlformats.org/officeDocument/2006/relationships/hyperlink" Target="https://www.blueletterbible.org/search/preSearch.cfm?Criteria=Ruth+3.3&amp;t=NKJV" TargetMode="External"/><Relationship Id="rId49" Type="http://schemas.openxmlformats.org/officeDocument/2006/relationships/hyperlink" Target="https://www.blueletterbible.org/search/preSearch.cfm?Criteria=Matthew+22.10-13&amp;t=NKJV" TargetMode="External"/><Relationship Id="rId10" Type="http://schemas.openxmlformats.org/officeDocument/2006/relationships/hyperlink" Target="https://www.blueletterbible.org/search/preSearch.cfm?Criteria=Ruth+3.3&amp;t=NKJV" TargetMode="External"/><Relationship Id="rId19" Type="http://schemas.openxmlformats.org/officeDocument/2006/relationships/hyperlink" Target="https://www.blueletterbible.org/search/preSearch.cfm?Criteria=John+13.10b&amp;t=NKJV" TargetMode="External"/><Relationship Id="rId31" Type="http://schemas.openxmlformats.org/officeDocument/2006/relationships/hyperlink" Target="https://www.blueletterbible.org/search/preSearch.cfm?Criteria=1Samuel+10.6&amp;t=NKJV" TargetMode="External"/><Relationship Id="rId44" Type="http://schemas.openxmlformats.org/officeDocument/2006/relationships/hyperlink" Target="https://www.blueletterbible.org/search/preSearch.cfm?Criteria=Hebrews+11.31&amp;t=NKJV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1Corinthians+3.11-15&amp;t=NKJV" TargetMode="External"/><Relationship Id="rId14" Type="http://schemas.openxmlformats.org/officeDocument/2006/relationships/hyperlink" Target="https://www.blueletterbible.org/search/preSearch.cfm?Criteria=Matthew+3.11-12&amp;t=NKJV" TargetMode="External"/><Relationship Id="rId22" Type="http://schemas.openxmlformats.org/officeDocument/2006/relationships/hyperlink" Target="https://www.blueletterbible.org/search/preSearch.cfm?Criteria=Exodus+29.4&amp;t=NKJV" TargetMode="External"/><Relationship Id="rId27" Type="http://schemas.openxmlformats.org/officeDocument/2006/relationships/hyperlink" Target="https://www.blueletterbible.org/search/preSearch.cfm?Criteria=Revelation+5.10&amp;t=NKJV" TargetMode="External"/><Relationship Id="rId30" Type="http://schemas.openxmlformats.org/officeDocument/2006/relationships/hyperlink" Target="https://www.blueletterbible.org/search/preSearch.cfm?Criteria=1Samuel+10.1&amp;t=NKJV" TargetMode="External"/><Relationship Id="rId35" Type="http://schemas.openxmlformats.org/officeDocument/2006/relationships/hyperlink" Target="https://www.blueletterbible.org/search/preSearch.cfm?Criteria=Matthew+25.6ff&amp;t=NKJV" TargetMode="External"/><Relationship Id="rId43" Type="http://schemas.openxmlformats.org/officeDocument/2006/relationships/hyperlink" Target="https://www.blueletterbible.org/search/preSearch.cfm?Criteria=Hebrews+11.17-19&amp;t=NKJV" TargetMode="External"/><Relationship Id="rId48" Type="http://schemas.openxmlformats.org/officeDocument/2006/relationships/hyperlink" Target="https://www.blueletterbible.org/search/preSearch.cfm?Criteria=Romans+8.35&amp;t=NKJV" TargetMode="External"/><Relationship Id="rId8" Type="http://schemas.openxmlformats.org/officeDocument/2006/relationships/hyperlink" Target="https://www.blueletterbible.org/search/preSearch.cfm?Criteria=Matthew+3.11-12&amp;t=NKJV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2020-09-11T17:28:00Z</dcterms:created>
  <dcterms:modified xsi:type="dcterms:W3CDTF">2020-09-11T17:35:00Z</dcterms:modified>
</cp:coreProperties>
</file>