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8FC" w:rsidRPr="00CE23CD" w:rsidRDefault="002E68FC" w:rsidP="002E68FC">
      <w:pPr>
        <w:pStyle w:val="NormalWeb"/>
        <w:shd w:val="clear" w:color="auto" w:fill="FFFFFF"/>
        <w:rPr>
          <w:rFonts w:ascii="Arial" w:hAnsi="Arial" w:cs="Arial"/>
          <w:b/>
          <w:color w:val="222222"/>
          <w:sz w:val="28"/>
          <w:szCs w:val="28"/>
        </w:rPr>
      </w:pPr>
      <w:bookmarkStart w:id="0" w:name="_GoBack"/>
      <w:r w:rsidRPr="00CE23CD">
        <w:rPr>
          <w:rFonts w:ascii="Arial" w:hAnsi="Arial" w:cs="Arial"/>
          <w:b/>
          <w:color w:val="222222"/>
          <w:sz w:val="28"/>
          <w:szCs w:val="28"/>
        </w:rPr>
        <w:t>Prophets</w:t>
      </w:r>
    </w:p>
    <w:bookmarkEnd w:id="0"/>
    <w:p w:rsidR="002E68FC" w:rsidRPr="00CE23CD" w:rsidRDefault="002E68FC" w:rsidP="002E68FC">
      <w:pPr>
        <w:pStyle w:val="NormalWeb"/>
        <w:shd w:val="clear" w:color="auto" w:fill="FFFFFF"/>
        <w:rPr>
          <w:rFonts w:ascii="Arial" w:hAnsi="Arial" w:cs="Arial"/>
          <w:color w:val="222222"/>
        </w:rPr>
      </w:pPr>
      <w:r w:rsidRPr="00CE23CD">
        <w:rPr>
          <w:rFonts w:ascii="Arial" w:hAnsi="Arial" w:cs="Arial"/>
          <w:color w:val="222222"/>
        </w:rPr>
        <w:t xml:space="preserve">By Arlen Chitwood of </w:t>
      </w:r>
      <w:hyperlink r:id="rId4" w:history="1">
        <w:r w:rsidR="00CE23CD" w:rsidRPr="00CE23CD">
          <w:rPr>
            <w:rStyle w:val="Hyperlink"/>
            <w:rFonts w:ascii="Arial Black" w:hAnsi="Arial Black"/>
            <w:color w:val="4F81BD" w:themeColor="text2"/>
          </w:rPr>
          <w:t>Lamp Broadcast</w:t>
        </w:r>
      </w:hyperlink>
    </w:p>
    <w:p w:rsidR="002E68FC" w:rsidRPr="00CE23CD" w:rsidRDefault="002E68FC" w:rsidP="002E68FC">
      <w:pPr>
        <w:pStyle w:val="NormalWeb"/>
        <w:shd w:val="clear" w:color="auto" w:fill="FFFFFF"/>
        <w:rPr>
          <w:rFonts w:ascii="Arial" w:hAnsi="Arial" w:cs="Arial"/>
          <w:color w:val="222222"/>
        </w:rPr>
      </w:pPr>
      <w:r w:rsidRPr="00CE23CD">
        <w:rPr>
          <w:rFonts w:ascii="Arial" w:hAnsi="Arial" w:cs="Arial"/>
          <w:color w:val="222222"/>
        </w:rPr>
        <w:t xml:space="preserve">Excerpt from Arlen’s </w:t>
      </w:r>
      <w:hyperlink r:id="rId5" w:anchor="The Study of Scripture" w:history="1">
        <w:r w:rsidR="00CE23CD" w:rsidRPr="00CE23CD">
          <w:rPr>
            <w:rStyle w:val="Hyperlink"/>
            <w:rFonts w:ascii="Arial Black" w:hAnsi="Arial Black"/>
          </w:rPr>
          <w:t>The Study of Scripture</w:t>
        </w:r>
      </w:hyperlink>
      <w:r w:rsidRPr="00CE23CD">
        <w:rPr>
          <w:rFonts w:ascii="Arial" w:hAnsi="Arial" w:cs="Arial"/>
          <w:color w:val="222222"/>
        </w:rPr>
        <w:t xml:space="preserve">, </w:t>
      </w:r>
      <w:hyperlink r:id="rId6" w:anchor="5)  Ages and Dispensations" w:history="1">
        <w:r w:rsidR="00CE23CD" w:rsidRPr="00CE23CD">
          <w:rPr>
            <w:rStyle w:val="Hyperlink"/>
            <w:rFonts w:ascii="Arial Black" w:hAnsi="Arial Black"/>
          </w:rPr>
          <w:t>5) Ages and Dispensations</w:t>
        </w:r>
      </w:hyperlink>
    </w:p>
    <w:p w:rsidR="002E68FC" w:rsidRPr="00CE23CD" w:rsidRDefault="002E68FC" w:rsidP="002E68FC">
      <w:pPr>
        <w:pStyle w:val="NormalWeb"/>
        <w:shd w:val="clear" w:color="auto" w:fill="FFFFFF"/>
        <w:rPr>
          <w:rFonts w:ascii="Arial" w:hAnsi="Arial" w:cs="Arial"/>
          <w:color w:val="222222"/>
        </w:rPr>
      </w:pPr>
    </w:p>
    <w:p w:rsidR="002E68FC" w:rsidRPr="00CE23CD" w:rsidRDefault="002E68FC" w:rsidP="002E68FC">
      <w:pPr>
        <w:pStyle w:val="NormalWeb"/>
        <w:shd w:val="clear" w:color="auto" w:fill="FFFFFF"/>
        <w:rPr>
          <w:rFonts w:ascii="Arial" w:hAnsi="Arial" w:cs="Arial"/>
          <w:color w:val="222222"/>
        </w:rPr>
      </w:pPr>
      <w:r w:rsidRPr="00CE23CD">
        <w:rPr>
          <w:rFonts w:ascii="Arial" w:hAnsi="Arial" w:cs="Arial"/>
          <w:color w:val="222222"/>
        </w:rPr>
        <w:t>The reference to God’s “prophets” in two of the preceding verses (</w:t>
      </w:r>
      <w:hyperlink r:id="rId7" w:tgtFrame="null" w:history="1">
        <w:r w:rsidRPr="00CE23CD">
          <w:rPr>
            <w:rStyle w:val="Hyperlink"/>
            <w:rFonts w:ascii="Arial" w:hAnsi="Arial" w:cs="Arial"/>
          </w:rPr>
          <w:t>Luke 1:70</w:t>
        </w:r>
      </w:hyperlink>
      <w:r w:rsidRPr="00CE23CD">
        <w:rPr>
          <w:rFonts w:ascii="Arial" w:hAnsi="Arial" w:cs="Arial"/>
          <w:color w:val="222222"/>
        </w:rPr>
        <w:t xml:space="preserve">; </w:t>
      </w:r>
      <w:hyperlink r:id="rId8" w:tgtFrame="null" w:history="1">
        <w:r w:rsidRPr="00CE23CD">
          <w:rPr>
            <w:rStyle w:val="Hyperlink"/>
            <w:rFonts w:ascii="Arial" w:hAnsi="Arial" w:cs="Arial"/>
          </w:rPr>
          <w:t>Acts 3:21</w:t>
        </w:r>
      </w:hyperlink>
      <w:r w:rsidRPr="00CE23CD">
        <w:rPr>
          <w:rFonts w:ascii="Arial" w:hAnsi="Arial" w:cs="Arial"/>
          <w:color w:val="222222"/>
        </w:rPr>
        <w:t xml:space="preserve">) should be understood in a somewhat broader sense than the word “prophet” is usually thought of today.  The word appears quite often (about 150 times in the New Testament) and is used as a title given to the person whom the Lord had chosen to communicate — “announce,” “declare” — His message to the people; and the message did not necessarily have to be prophetic </w:t>
      </w:r>
      <w:r w:rsidRPr="00CE23CD">
        <w:rPr>
          <w:rStyle w:val="Emphasis"/>
          <w:rFonts w:ascii="Arial" w:hAnsi="Arial" w:cs="Arial"/>
          <w:color w:val="222222"/>
        </w:rPr>
        <w:t>per se</w:t>
      </w:r>
      <w:r w:rsidRPr="00CE23CD">
        <w:rPr>
          <w:rFonts w:ascii="Arial" w:hAnsi="Arial" w:cs="Arial"/>
          <w:color w:val="222222"/>
        </w:rPr>
        <w:t xml:space="preserve"> for the title “prophet” to be used of the messenger.</w:t>
      </w:r>
    </w:p>
    <w:p w:rsidR="002E68FC" w:rsidRPr="00CE23CD" w:rsidRDefault="002E68FC" w:rsidP="002E68FC">
      <w:pPr>
        <w:pStyle w:val="NormalWeb"/>
        <w:shd w:val="clear" w:color="auto" w:fill="FFFFFF"/>
        <w:rPr>
          <w:rFonts w:ascii="Arial" w:hAnsi="Arial" w:cs="Arial"/>
          <w:color w:val="222222"/>
        </w:rPr>
      </w:pPr>
    </w:p>
    <w:p w:rsidR="002E68FC" w:rsidRPr="00CE23CD" w:rsidRDefault="002E68FC" w:rsidP="002E68FC">
      <w:pPr>
        <w:pStyle w:val="NormalWeb"/>
        <w:shd w:val="clear" w:color="auto" w:fill="FFFFFF"/>
        <w:rPr>
          <w:rStyle w:val="Emphasis"/>
          <w:rFonts w:ascii="Arial" w:hAnsi="Arial" w:cs="Arial"/>
          <w:color w:val="222222"/>
        </w:rPr>
      </w:pPr>
      <w:r w:rsidRPr="00CE23CD">
        <w:rPr>
          <w:rFonts w:ascii="Arial" w:hAnsi="Arial" w:cs="Arial"/>
          <w:color w:val="222222"/>
        </w:rPr>
        <w:t xml:space="preserve">This title is used referring to those chosen at different times </w:t>
      </w:r>
      <w:r w:rsidRPr="00CE23CD">
        <w:rPr>
          <w:rStyle w:val="Emphasis"/>
          <w:rFonts w:ascii="Arial" w:hAnsi="Arial" w:cs="Arial"/>
          <w:color w:val="222222"/>
        </w:rPr>
        <w:t>to declare the will and purpose of God by/through either a written revelation or an oral expression.</w:t>
      </w:r>
    </w:p>
    <w:p w:rsidR="002E68FC" w:rsidRPr="00CE23CD" w:rsidRDefault="002E68FC" w:rsidP="002E68FC">
      <w:pPr>
        <w:pStyle w:val="NormalWeb"/>
        <w:shd w:val="clear" w:color="auto" w:fill="FFFFFF"/>
        <w:rPr>
          <w:rFonts w:ascii="Arial" w:hAnsi="Arial" w:cs="Arial"/>
          <w:color w:val="222222"/>
        </w:rPr>
      </w:pPr>
    </w:p>
    <w:p w:rsidR="002E68FC" w:rsidRPr="00CE23CD" w:rsidRDefault="002E68FC" w:rsidP="002E68FC">
      <w:pPr>
        <w:pStyle w:val="NormalWeb"/>
        <w:shd w:val="clear" w:color="auto" w:fill="FFFFFF"/>
        <w:rPr>
          <w:rFonts w:ascii="Arial" w:hAnsi="Arial" w:cs="Arial"/>
          <w:color w:val="222222"/>
        </w:rPr>
      </w:pPr>
      <w:r w:rsidRPr="00CE23CD">
        <w:rPr>
          <w:rFonts w:ascii="Arial" w:hAnsi="Arial" w:cs="Arial"/>
          <w:color w:val="222222"/>
        </w:rPr>
        <w:t>It is used of individuals preceding the existence of the nation of Israel (</w:t>
      </w:r>
      <w:hyperlink r:id="rId9" w:tgtFrame="null" w:history="1">
        <w:r w:rsidRPr="00CE23CD">
          <w:rPr>
            <w:rStyle w:val="Hyperlink"/>
            <w:rFonts w:ascii="Arial" w:hAnsi="Arial" w:cs="Arial"/>
          </w:rPr>
          <w:t>Jude 1:14</w:t>
        </w:r>
      </w:hyperlink>
      <w:r w:rsidRPr="00CE23CD">
        <w:rPr>
          <w:rFonts w:ascii="Arial" w:hAnsi="Arial" w:cs="Arial"/>
          <w:color w:val="222222"/>
        </w:rPr>
        <w:t>), of individuals in Israel (</w:t>
      </w:r>
      <w:hyperlink r:id="rId10" w:tgtFrame="null" w:history="1">
        <w:r w:rsidRPr="00CE23CD">
          <w:rPr>
            <w:rStyle w:val="Hyperlink"/>
            <w:rFonts w:ascii="Arial" w:hAnsi="Arial" w:cs="Arial"/>
          </w:rPr>
          <w:t>Matthew 23:37</w:t>
        </w:r>
      </w:hyperlink>
      <w:r w:rsidRPr="00CE23CD">
        <w:rPr>
          <w:rFonts w:ascii="Arial" w:hAnsi="Arial" w:cs="Arial"/>
          <w:color w:val="222222"/>
        </w:rPr>
        <w:t xml:space="preserve">; </w:t>
      </w:r>
      <w:hyperlink r:id="rId11" w:tgtFrame="null" w:history="1">
        <w:r w:rsidRPr="00CE23CD">
          <w:rPr>
            <w:rStyle w:val="Hyperlink"/>
            <w:rFonts w:ascii="Arial" w:hAnsi="Arial" w:cs="Arial"/>
          </w:rPr>
          <w:t>Luke 24:27</w:t>
        </w:r>
      </w:hyperlink>
      <w:r w:rsidRPr="00CE23CD">
        <w:rPr>
          <w:rFonts w:ascii="Arial" w:hAnsi="Arial" w:cs="Arial"/>
          <w:color w:val="222222"/>
        </w:rPr>
        <w:t>), of individuals in the first century Church prior to the completion of the canon of Scripture (</w:t>
      </w:r>
      <w:hyperlink r:id="rId12" w:tgtFrame="null" w:history="1">
        <w:r w:rsidRPr="00CE23CD">
          <w:rPr>
            <w:rStyle w:val="Hyperlink"/>
            <w:rFonts w:ascii="Arial" w:hAnsi="Arial" w:cs="Arial"/>
          </w:rPr>
          <w:t>1 Corinthians 12:28</w:t>
        </w:r>
      </w:hyperlink>
      <w:r w:rsidRPr="00CE23CD">
        <w:rPr>
          <w:rFonts w:ascii="Arial" w:hAnsi="Arial" w:cs="Arial"/>
          <w:color w:val="222222"/>
        </w:rPr>
        <w:t xml:space="preserve">; </w:t>
      </w:r>
      <w:hyperlink r:id="rId13" w:tgtFrame="null" w:history="1">
        <w:r w:rsidRPr="00CE23CD">
          <w:rPr>
            <w:rStyle w:val="Hyperlink"/>
            <w:rFonts w:ascii="Arial" w:hAnsi="Arial" w:cs="Arial"/>
          </w:rPr>
          <w:t>13:9-10</w:t>
        </w:r>
      </w:hyperlink>
      <w:r w:rsidRPr="00CE23CD">
        <w:rPr>
          <w:rFonts w:ascii="Arial" w:hAnsi="Arial" w:cs="Arial"/>
          <w:color w:val="222222"/>
        </w:rPr>
        <w:t xml:space="preserve">; </w:t>
      </w:r>
      <w:hyperlink r:id="rId14" w:tgtFrame="null" w:history="1">
        <w:r w:rsidRPr="00CE23CD">
          <w:rPr>
            <w:rStyle w:val="Hyperlink"/>
            <w:rFonts w:ascii="Arial" w:hAnsi="Arial" w:cs="Arial"/>
          </w:rPr>
          <w:t>Ephesians 4:11</w:t>
        </w:r>
      </w:hyperlink>
      <w:r w:rsidRPr="00CE23CD">
        <w:rPr>
          <w:rFonts w:ascii="Arial" w:hAnsi="Arial" w:cs="Arial"/>
          <w:color w:val="222222"/>
        </w:rPr>
        <w:t>), and of individuals in Israel once again yet future (</w:t>
      </w:r>
      <w:hyperlink r:id="rId15" w:tgtFrame="null" w:history="1">
        <w:r w:rsidRPr="00CE23CD">
          <w:rPr>
            <w:rStyle w:val="Hyperlink"/>
            <w:rFonts w:ascii="Arial" w:hAnsi="Arial" w:cs="Arial"/>
          </w:rPr>
          <w:t>Joel 2:27-28</w:t>
        </w:r>
      </w:hyperlink>
      <w:r w:rsidRPr="00CE23CD">
        <w:rPr>
          <w:rFonts w:ascii="Arial" w:hAnsi="Arial" w:cs="Arial"/>
          <w:color w:val="222222"/>
        </w:rPr>
        <w:t xml:space="preserve">; </w:t>
      </w:r>
      <w:hyperlink r:id="rId16" w:tgtFrame="null" w:history="1">
        <w:r w:rsidRPr="00CE23CD">
          <w:rPr>
            <w:rStyle w:val="Hyperlink"/>
            <w:rFonts w:ascii="Arial" w:hAnsi="Arial" w:cs="Arial"/>
          </w:rPr>
          <w:t>Revelation 11:3</w:t>
        </w:r>
      </w:hyperlink>
      <w:r w:rsidRPr="00CE23CD">
        <w:rPr>
          <w:rFonts w:ascii="Arial" w:hAnsi="Arial" w:cs="Arial"/>
          <w:color w:val="222222"/>
        </w:rPr>
        <w:t xml:space="preserve">, </w:t>
      </w:r>
      <w:hyperlink r:id="rId17" w:tgtFrame="null" w:history="1">
        <w:r w:rsidRPr="00CE23CD">
          <w:rPr>
            <w:rStyle w:val="Hyperlink"/>
            <w:rFonts w:ascii="Arial" w:hAnsi="Arial" w:cs="Arial"/>
          </w:rPr>
          <w:t>10</w:t>
        </w:r>
      </w:hyperlink>
      <w:r w:rsidRPr="00CE23CD">
        <w:rPr>
          <w:rFonts w:ascii="Arial" w:hAnsi="Arial" w:cs="Arial"/>
          <w:color w:val="222222"/>
        </w:rPr>
        <w:t>).</w:t>
      </w:r>
    </w:p>
    <w:p w:rsidR="002E68FC" w:rsidRPr="00CE23CD" w:rsidRDefault="002E68FC" w:rsidP="002E68FC">
      <w:pPr>
        <w:pStyle w:val="NormalWeb"/>
        <w:shd w:val="clear" w:color="auto" w:fill="FFFFFF"/>
        <w:rPr>
          <w:rFonts w:ascii="Arial" w:hAnsi="Arial" w:cs="Arial"/>
          <w:color w:val="222222"/>
        </w:rPr>
      </w:pPr>
    </w:p>
    <w:p w:rsidR="002E68FC" w:rsidRPr="00CE23CD" w:rsidRDefault="002E68FC" w:rsidP="002E68FC">
      <w:pPr>
        <w:pStyle w:val="NormalWeb"/>
        <w:shd w:val="clear" w:color="auto" w:fill="FFFFFF"/>
        <w:rPr>
          <w:rFonts w:ascii="Arial" w:hAnsi="Arial" w:cs="Arial"/>
          <w:color w:val="222222"/>
        </w:rPr>
      </w:pPr>
      <w:r w:rsidRPr="00CE23CD">
        <w:rPr>
          <w:rFonts w:ascii="Arial" w:hAnsi="Arial" w:cs="Arial"/>
          <w:color w:val="222222"/>
        </w:rPr>
        <w:t>In this respect, all of those chosen to write portions of the Word of God, beginning with Moses and ending with John, could be called “prophets.”  And others, such as Enoch or Noah who communicated the message of God in an oral manner to the people of their day — though they were not chosen to write particular sections of Scripture — could also be looked upon after this same fashion (</w:t>
      </w:r>
      <w:r w:rsidRPr="00CE23CD">
        <w:rPr>
          <w:rStyle w:val="Emphasis"/>
          <w:rFonts w:ascii="Arial" w:hAnsi="Arial" w:cs="Arial"/>
          <w:color w:val="222222"/>
        </w:rPr>
        <w:t>cf</w:t>
      </w:r>
      <w:r w:rsidRPr="00CE23CD">
        <w:rPr>
          <w:rFonts w:ascii="Arial" w:hAnsi="Arial" w:cs="Arial"/>
          <w:color w:val="222222"/>
        </w:rPr>
        <w:t xml:space="preserve">. </w:t>
      </w:r>
      <w:hyperlink r:id="rId18" w:tgtFrame="null" w:history="1">
        <w:r w:rsidRPr="00CE23CD">
          <w:rPr>
            <w:rStyle w:val="Hyperlink"/>
            <w:rFonts w:ascii="Arial" w:hAnsi="Arial" w:cs="Arial"/>
          </w:rPr>
          <w:t>2 Peter 2:5</w:t>
        </w:r>
      </w:hyperlink>
      <w:r w:rsidRPr="00CE23CD">
        <w:rPr>
          <w:rFonts w:ascii="Arial" w:hAnsi="Arial" w:cs="Arial"/>
          <w:color w:val="222222"/>
        </w:rPr>
        <w:t xml:space="preserve">; </w:t>
      </w:r>
      <w:hyperlink r:id="rId19" w:tgtFrame="null" w:history="1">
        <w:r w:rsidRPr="00CE23CD">
          <w:rPr>
            <w:rStyle w:val="Hyperlink"/>
            <w:rFonts w:ascii="Arial" w:hAnsi="Arial" w:cs="Arial"/>
          </w:rPr>
          <w:t>Jude 1:14</w:t>
        </w:r>
      </w:hyperlink>
      <w:r w:rsidRPr="00CE23CD">
        <w:rPr>
          <w:rFonts w:ascii="Arial" w:hAnsi="Arial" w:cs="Arial"/>
          <w:color w:val="222222"/>
        </w:rPr>
        <w:t>).  In fact, this word, in its strict Scriptural usage, could be used to refer to certain individuals all the way back to and including Adam himself.</w:t>
      </w:r>
    </w:p>
    <w:p w:rsidR="002E68FC" w:rsidRPr="00CE23CD" w:rsidRDefault="002E68FC" w:rsidP="002E68FC">
      <w:pPr>
        <w:pStyle w:val="NormalWeb"/>
        <w:shd w:val="clear" w:color="auto" w:fill="FFFFFF"/>
        <w:rPr>
          <w:rFonts w:ascii="Arial" w:hAnsi="Arial" w:cs="Arial"/>
          <w:color w:val="222222"/>
        </w:rPr>
      </w:pPr>
    </w:p>
    <w:p w:rsidR="002E68FC" w:rsidRPr="00CE23CD" w:rsidRDefault="002E68FC" w:rsidP="002E68FC">
      <w:pPr>
        <w:pStyle w:val="NormalWeb"/>
        <w:shd w:val="clear" w:color="auto" w:fill="FFFFFF"/>
        <w:ind w:left="720"/>
        <w:rPr>
          <w:rFonts w:ascii="Arial" w:hAnsi="Arial" w:cs="Arial"/>
          <w:color w:val="222222"/>
        </w:rPr>
      </w:pPr>
      <w:r w:rsidRPr="00CE23CD">
        <w:rPr>
          <w:rFonts w:ascii="Arial" w:hAnsi="Arial" w:cs="Arial"/>
          <w:color w:val="222222"/>
        </w:rPr>
        <w:t>(The first recorded statement by Adam, which concerned an existing relationship between himself and Eve, has far-reaching ramifications.  It has to do with “</w:t>
      </w:r>
      <w:r w:rsidRPr="00CE23CD">
        <w:rPr>
          <w:rStyle w:val="Emphasis"/>
          <w:rFonts w:ascii="Arial" w:hAnsi="Arial" w:cs="Arial"/>
          <w:color w:val="222222"/>
        </w:rPr>
        <w:t>a great mystery</w:t>
      </w:r>
      <w:r w:rsidRPr="00CE23CD">
        <w:rPr>
          <w:rFonts w:ascii="Arial" w:hAnsi="Arial" w:cs="Arial"/>
          <w:color w:val="222222"/>
        </w:rPr>
        <w:t>” that God desires His people to know and understand, for it concerns an existing relationship between Christ and the Church.</w:t>
      </w:r>
    </w:p>
    <w:p w:rsidR="002E68FC" w:rsidRPr="00CE23CD" w:rsidRDefault="002E68FC" w:rsidP="002E68FC">
      <w:pPr>
        <w:pStyle w:val="NormalWeb"/>
        <w:shd w:val="clear" w:color="auto" w:fill="FFFFFF"/>
        <w:ind w:left="720"/>
        <w:rPr>
          <w:rFonts w:ascii="Arial" w:hAnsi="Arial" w:cs="Arial"/>
          <w:color w:val="222222"/>
        </w:rPr>
      </w:pPr>
    </w:p>
    <w:p w:rsidR="002E68FC" w:rsidRPr="00CE23CD" w:rsidRDefault="002E68FC" w:rsidP="002E68FC">
      <w:pPr>
        <w:pStyle w:val="NormalWeb"/>
        <w:shd w:val="clear" w:color="auto" w:fill="FFFFFF"/>
        <w:ind w:left="720"/>
        <w:rPr>
          <w:rFonts w:ascii="Arial" w:hAnsi="Arial" w:cs="Arial"/>
          <w:color w:val="222222"/>
        </w:rPr>
      </w:pPr>
      <w:r w:rsidRPr="00CE23CD">
        <w:rPr>
          <w:rFonts w:ascii="Arial" w:hAnsi="Arial" w:cs="Arial"/>
          <w:color w:val="222222"/>
        </w:rPr>
        <w:t xml:space="preserve">The former forms the type and the latter the antitype, and this mystery can be seen in its correct proper perspective </w:t>
      </w:r>
      <w:r w:rsidRPr="00CE23CD">
        <w:rPr>
          <w:rStyle w:val="Emphasis"/>
          <w:rFonts w:ascii="Arial" w:hAnsi="Arial" w:cs="Arial"/>
          <w:color w:val="222222"/>
        </w:rPr>
        <w:t>only</w:t>
      </w:r>
      <w:r w:rsidRPr="00CE23CD">
        <w:rPr>
          <w:rFonts w:ascii="Arial" w:hAnsi="Arial" w:cs="Arial"/>
          <w:color w:val="222222"/>
        </w:rPr>
        <w:t xml:space="preserve"> by viewing both the type and antitype together [</w:t>
      </w:r>
      <w:r w:rsidRPr="00CE23CD">
        <w:rPr>
          <w:rStyle w:val="Emphasis"/>
          <w:rFonts w:ascii="Arial" w:hAnsi="Arial" w:cs="Arial"/>
          <w:color w:val="222222"/>
        </w:rPr>
        <w:t>cf</w:t>
      </w:r>
      <w:r w:rsidRPr="00CE23CD">
        <w:rPr>
          <w:rFonts w:ascii="Arial" w:hAnsi="Arial" w:cs="Arial"/>
          <w:color w:val="222222"/>
        </w:rPr>
        <w:t xml:space="preserve">. </w:t>
      </w:r>
      <w:hyperlink r:id="rId20" w:tgtFrame="null" w:history="1">
        <w:r w:rsidRPr="00CE23CD">
          <w:rPr>
            <w:rStyle w:val="Hyperlink"/>
            <w:rFonts w:ascii="Arial" w:hAnsi="Arial" w:cs="Arial"/>
          </w:rPr>
          <w:t>Genesis 2:23-24</w:t>
        </w:r>
      </w:hyperlink>
      <w:r w:rsidRPr="00CE23CD">
        <w:rPr>
          <w:rFonts w:ascii="Arial" w:hAnsi="Arial" w:cs="Arial"/>
          <w:color w:val="222222"/>
        </w:rPr>
        <w:t xml:space="preserve">; </w:t>
      </w:r>
      <w:hyperlink r:id="rId21" w:tgtFrame="null" w:history="1">
        <w:r w:rsidRPr="00CE23CD">
          <w:rPr>
            <w:rStyle w:val="Hyperlink"/>
            <w:rFonts w:ascii="Arial" w:hAnsi="Arial" w:cs="Arial"/>
          </w:rPr>
          <w:t>Ephesians 5:21-32</w:t>
        </w:r>
      </w:hyperlink>
      <w:r w:rsidRPr="00CE23CD">
        <w:rPr>
          <w:rFonts w:ascii="Arial" w:hAnsi="Arial" w:cs="Arial"/>
          <w:color w:val="222222"/>
        </w:rPr>
        <w:t>].)</w:t>
      </w:r>
    </w:p>
    <w:p w:rsidR="005E4A43" w:rsidRPr="00CE23CD" w:rsidRDefault="00783C98">
      <w:pPr>
        <w:rPr>
          <w:szCs w:val="24"/>
        </w:rPr>
      </w:pPr>
    </w:p>
    <w:sectPr w:rsidR="005E4A43" w:rsidRPr="00CE23CD" w:rsidSect="00646CC2">
      <w:pgSz w:w="12240" w:h="15840" w:code="1"/>
      <w:pgMar w:top="720" w:right="749" w:bottom="720" w:left="720" w:header="720" w:footer="74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FC"/>
    <w:rsid w:val="00146508"/>
    <w:rsid w:val="0025732B"/>
    <w:rsid w:val="002E68FC"/>
    <w:rsid w:val="00522C7E"/>
    <w:rsid w:val="00545F85"/>
    <w:rsid w:val="00603EC4"/>
    <w:rsid w:val="00646CC2"/>
    <w:rsid w:val="00783C98"/>
    <w:rsid w:val="00875F0A"/>
    <w:rsid w:val="00883C88"/>
    <w:rsid w:val="009F5F2A"/>
    <w:rsid w:val="00AC173F"/>
    <w:rsid w:val="00AD3975"/>
    <w:rsid w:val="00AE59F8"/>
    <w:rsid w:val="00B97C0E"/>
    <w:rsid w:val="00BF2FCD"/>
    <w:rsid w:val="00CB51D2"/>
    <w:rsid w:val="00CE23CD"/>
    <w:rsid w:val="00DA0EF2"/>
    <w:rsid w:val="00F9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019E9-5258-4892-AE70-9DA3202D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222222"/>
        <w:sz w:val="24"/>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FCD"/>
    <w:pPr>
      <w:jc w:val="left"/>
    </w:pPr>
  </w:style>
  <w:style w:type="paragraph" w:styleId="Heading2">
    <w:name w:val="heading 2"/>
    <w:basedOn w:val="Normal"/>
    <w:link w:val="Heading2Char"/>
    <w:uiPriority w:val="9"/>
    <w:semiHidden/>
    <w:unhideWhenUsed/>
    <w:qFormat/>
    <w:rsid w:val="00BF2FC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F2FCD"/>
    <w:rPr>
      <w:rFonts w:ascii="Times New Roman" w:hAnsi="Times New Roman" w:cs="Times New Roman"/>
      <w:b/>
      <w:bCs/>
      <w:sz w:val="36"/>
      <w:szCs w:val="36"/>
    </w:rPr>
  </w:style>
  <w:style w:type="character" w:styleId="Strong">
    <w:name w:val="Strong"/>
    <w:basedOn w:val="DefaultParagraphFont"/>
    <w:uiPriority w:val="22"/>
    <w:qFormat/>
    <w:rsid w:val="00BF2FCD"/>
    <w:rPr>
      <w:b/>
      <w:bCs/>
    </w:rPr>
  </w:style>
  <w:style w:type="character" w:styleId="Emphasis">
    <w:name w:val="Emphasis"/>
    <w:basedOn w:val="DefaultParagraphFont"/>
    <w:uiPriority w:val="20"/>
    <w:qFormat/>
    <w:rsid w:val="00BF2FCD"/>
    <w:rPr>
      <w:i/>
      <w:iCs/>
    </w:rPr>
  </w:style>
  <w:style w:type="character" w:styleId="Hyperlink">
    <w:name w:val="Hyperlink"/>
    <w:basedOn w:val="DefaultParagraphFont"/>
    <w:uiPriority w:val="99"/>
    <w:semiHidden/>
    <w:unhideWhenUsed/>
    <w:rsid w:val="002E68FC"/>
    <w:rPr>
      <w:color w:val="0062B5"/>
      <w:u w:val="single"/>
    </w:rPr>
  </w:style>
  <w:style w:type="paragraph" w:styleId="NormalWeb">
    <w:name w:val="Normal (Web)"/>
    <w:basedOn w:val="Normal"/>
    <w:uiPriority w:val="99"/>
    <w:semiHidden/>
    <w:unhideWhenUsed/>
    <w:rsid w:val="002E68FC"/>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653">
      <w:bodyDiv w:val="1"/>
      <w:marLeft w:val="0"/>
      <w:marRight w:val="0"/>
      <w:marTop w:val="0"/>
      <w:marBottom w:val="0"/>
      <w:divBdr>
        <w:top w:val="none" w:sz="0" w:space="0" w:color="auto"/>
        <w:left w:val="none" w:sz="0" w:space="0" w:color="auto"/>
        <w:bottom w:val="none" w:sz="0" w:space="0" w:color="auto"/>
        <w:right w:val="none" w:sz="0" w:space="0" w:color="auto"/>
      </w:divBdr>
      <w:divsChild>
        <w:div w:id="1164125190">
          <w:marLeft w:val="0"/>
          <w:marRight w:val="0"/>
          <w:marTop w:val="300"/>
          <w:marBottom w:val="150"/>
          <w:divBdr>
            <w:top w:val="none" w:sz="0" w:space="0" w:color="auto"/>
            <w:left w:val="none" w:sz="0" w:space="0" w:color="auto"/>
            <w:bottom w:val="none" w:sz="0" w:space="0" w:color="auto"/>
            <w:right w:val="none" w:sz="0" w:space="0" w:color="auto"/>
          </w:divBdr>
          <w:divsChild>
            <w:div w:id="1363631286">
              <w:marLeft w:val="0"/>
              <w:marRight w:val="0"/>
              <w:marTop w:val="0"/>
              <w:marBottom w:val="0"/>
              <w:divBdr>
                <w:top w:val="none" w:sz="0" w:space="0" w:color="auto"/>
                <w:left w:val="none" w:sz="0" w:space="0" w:color="auto"/>
                <w:bottom w:val="none" w:sz="0" w:space="0" w:color="auto"/>
                <w:right w:val="none" w:sz="0" w:space="0" w:color="auto"/>
              </w:divBdr>
              <w:divsChild>
                <w:div w:id="574514325">
                  <w:marLeft w:val="0"/>
                  <w:marRight w:val="0"/>
                  <w:marTop w:val="0"/>
                  <w:marBottom w:val="0"/>
                  <w:divBdr>
                    <w:top w:val="none" w:sz="0" w:space="0" w:color="auto"/>
                    <w:left w:val="none" w:sz="0" w:space="0" w:color="auto"/>
                    <w:bottom w:val="none" w:sz="0" w:space="0" w:color="auto"/>
                    <w:right w:val="none" w:sz="0" w:space="0" w:color="auto"/>
                  </w:divBdr>
                  <w:divsChild>
                    <w:div w:id="251357853">
                      <w:marLeft w:val="0"/>
                      <w:marRight w:val="0"/>
                      <w:marTop w:val="0"/>
                      <w:marBottom w:val="0"/>
                      <w:divBdr>
                        <w:top w:val="none" w:sz="0" w:space="0" w:color="auto"/>
                        <w:left w:val="none" w:sz="0" w:space="0" w:color="auto"/>
                        <w:bottom w:val="none" w:sz="0" w:space="0" w:color="auto"/>
                        <w:right w:val="none" w:sz="0" w:space="0" w:color="auto"/>
                      </w:divBdr>
                      <w:divsChild>
                        <w:div w:id="641350901">
                          <w:marLeft w:val="0"/>
                          <w:marRight w:val="0"/>
                          <w:marTop w:val="0"/>
                          <w:marBottom w:val="0"/>
                          <w:divBdr>
                            <w:top w:val="none" w:sz="0" w:space="0" w:color="auto"/>
                            <w:left w:val="none" w:sz="0" w:space="0" w:color="auto"/>
                            <w:bottom w:val="none" w:sz="0" w:space="0" w:color="auto"/>
                            <w:right w:val="none" w:sz="0" w:space="0" w:color="auto"/>
                          </w:divBdr>
                          <w:divsChild>
                            <w:div w:id="1272130514">
                              <w:marLeft w:val="750"/>
                              <w:marRight w:val="750"/>
                              <w:marTop w:val="150"/>
                              <w:marBottom w:val="0"/>
                              <w:divBdr>
                                <w:top w:val="none" w:sz="0" w:space="0" w:color="auto"/>
                                <w:left w:val="none" w:sz="0" w:space="0" w:color="auto"/>
                                <w:bottom w:val="none" w:sz="0" w:space="0" w:color="auto"/>
                                <w:right w:val="none" w:sz="0" w:space="0" w:color="auto"/>
                              </w:divBdr>
                              <w:divsChild>
                                <w:div w:id="1907573163">
                                  <w:marLeft w:val="0"/>
                                  <w:marRight w:val="0"/>
                                  <w:marTop w:val="0"/>
                                  <w:marBottom w:val="0"/>
                                  <w:divBdr>
                                    <w:top w:val="none" w:sz="0" w:space="0" w:color="auto"/>
                                    <w:left w:val="none" w:sz="0" w:space="0" w:color="auto"/>
                                    <w:bottom w:val="none" w:sz="0" w:space="0" w:color="auto"/>
                                    <w:right w:val="none" w:sz="0" w:space="0" w:color="auto"/>
                                  </w:divBdr>
                                  <w:divsChild>
                                    <w:div w:id="1908991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search/preSearch.cfm?Criteria=Acts+3.21&amp;t=NKJV" TargetMode="External"/><Relationship Id="rId13" Type="http://schemas.openxmlformats.org/officeDocument/2006/relationships/hyperlink" Target="http://www.blueletterbible.org/search/preSearch.cfm?Criteria=1Corinthians+13.9-10&amp;t=NKJV" TargetMode="External"/><Relationship Id="rId18" Type="http://schemas.openxmlformats.org/officeDocument/2006/relationships/hyperlink" Target="http://www.blueletterbible.org/search/preSearch.cfm?Criteria=2Peter+2.5&amp;t=NKJV" TargetMode="External"/><Relationship Id="rId3" Type="http://schemas.openxmlformats.org/officeDocument/2006/relationships/webSettings" Target="webSettings.xml"/><Relationship Id="rId21" Type="http://schemas.openxmlformats.org/officeDocument/2006/relationships/hyperlink" Target="http://www.blueletterbible.org/search/preSearch.cfm?Criteria=Ephesians+5.21-32&amp;t=NKJV" TargetMode="External"/><Relationship Id="rId7" Type="http://schemas.openxmlformats.org/officeDocument/2006/relationships/hyperlink" Target="http://www.blueletterbible.org/search/preSearch.cfm?Criteria=Luke+1.70&amp;t=NKJV" TargetMode="External"/><Relationship Id="rId12" Type="http://schemas.openxmlformats.org/officeDocument/2006/relationships/hyperlink" Target="http://www.blueletterbible.org/search/preSearch.cfm?Criteria=1Corinthians+12.28&amp;t=NKJV" TargetMode="External"/><Relationship Id="rId17" Type="http://schemas.openxmlformats.org/officeDocument/2006/relationships/hyperlink" Target="http://www.blueletterbible.org/search/preSearch.cfm?Criteria=Revelation+11.10&amp;t=NKJV" TargetMode="External"/><Relationship Id="rId2" Type="http://schemas.openxmlformats.org/officeDocument/2006/relationships/settings" Target="settings.xml"/><Relationship Id="rId16" Type="http://schemas.openxmlformats.org/officeDocument/2006/relationships/hyperlink" Target="http://www.blueletterbible.org/search/preSearch.cfm?Criteria=Revelation+11.3&amp;t=NKJV" TargetMode="External"/><Relationship Id="rId20" Type="http://schemas.openxmlformats.org/officeDocument/2006/relationships/hyperlink" Target="http://www.blueletterbible.org/search/preSearch.cfm?Criteria=Genesis+2.23-24&amp;t=NKJV" TargetMode="External"/><Relationship Id="rId1" Type="http://schemas.openxmlformats.org/officeDocument/2006/relationships/styles" Target="styles.xml"/><Relationship Id="rId6" Type="http://schemas.openxmlformats.org/officeDocument/2006/relationships/hyperlink" Target="http://www.koffeekupkandor.com/the-study-of-scripture.php" TargetMode="External"/><Relationship Id="rId11" Type="http://schemas.openxmlformats.org/officeDocument/2006/relationships/hyperlink" Target="http://www.blueletterbible.org/search/preSearch.cfm?Criteria=Luke+24.27&amp;t=NKJV" TargetMode="External"/><Relationship Id="rId5" Type="http://schemas.openxmlformats.org/officeDocument/2006/relationships/hyperlink" Target="http://www.koffeekupkandor.com/the-study-of-scripture.php" TargetMode="External"/><Relationship Id="rId15" Type="http://schemas.openxmlformats.org/officeDocument/2006/relationships/hyperlink" Target="http://www.blueletterbible.org/search/preSearch.cfm?Criteria=Joel+2.27-28&amp;t=NKJV" TargetMode="External"/><Relationship Id="rId23" Type="http://schemas.openxmlformats.org/officeDocument/2006/relationships/theme" Target="theme/theme1.xml"/><Relationship Id="rId10" Type="http://schemas.openxmlformats.org/officeDocument/2006/relationships/hyperlink" Target="http://www.blueletterbible.org/search/preSearch.cfm?Criteria=Matthew+23.37&amp;t=NKJV" TargetMode="External"/><Relationship Id="rId19" Type="http://schemas.openxmlformats.org/officeDocument/2006/relationships/hyperlink" Target="http://www.blueletterbible.org/search/preSearch.cfm?Criteria=Jude+1.14&amp;t=NKJV" TargetMode="External"/><Relationship Id="rId4" Type="http://schemas.openxmlformats.org/officeDocument/2006/relationships/hyperlink" Target="http://lampbroadcast.org/" TargetMode="External"/><Relationship Id="rId9" Type="http://schemas.openxmlformats.org/officeDocument/2006/relationships/hyperlink" Target="http://www.blueletterbible.org/search/preSearch.cfm?Criteria=Jude+1.14&amp;t=NKJV" TargetMode="External"/><Relationship Id="rId14" Type="http://schemas.openxmlformats.org/officeDocument/2006/relationships/hyperlink" Target="http://www.blueletterbible.org/search/preSearch.cfm?Criteria=Ephesians+4.11&amp;t=NKJ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F81B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2016-08-29T18:04:00Z</dcterms:created>
  <dcterms:modified xsi:type="dcterms:W3CDTF">2016-08-29T18:58:00Z</dcterms:modified>
</cp:coreProperties>
</file>