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C85530">
        <w:rPr>
          <w:rFonts w:ascii="Arial" w:hAnsi="Arial" w:cs="Arial"/>
          <w:color w:val="FF0000"/>
        </w:rPr>
        <w:t>It’s</w:t>
      </w:r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FF0000"/>
        </w:rPr>
        <w:t>WORD,</w:t>
      </w:r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FF0000"/>
        </w:rPr>
        <w:t>WORD,</w:t>
      </w:r>
      <w:r>
        <w:rPr>
          <w:rFonts w:ascii="Arial" w:hAnsi="Arial" w:cs="Arial"/>
          <w:color w:val="FF0000"/>
        </w:rPr>
        <w:t xml:space="preserve"> </w:t>
      </w:r>
      <w:proofErr w:type="gramStart"/>
      <w:r w:rsidRPr="00C85530">
        <w:rPr>
          <w:rFonts w:ascii="Arial" w:hAnsi="Arial" w:cs="Arial"/>
          <w:color w:val="FF0000"/>
        </w:rPr>
        <w:t>the</w:t>
      </w:r>
      <w:proofErr w:type="gramEnd"/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FF0000"/>
        </w:rPr>
        <w:t>WORD!</w:t>
      </w:r>
      <w:r w:rsidRPr="00C85530">
        <w:rPr>
          <w:rFonts w:ascii="Arial" w:hAnsi="Arial" w:cs="Arial"/>
          <w:color w:val="FF0000"/>
        </w:rPr>
        <w:br/>
        <w:t>Christians</w:t>
      </w:r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FF0000"/>
        </w:rPr>
        <w:t>have</w:t>
      </w:r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FF0000"/>
        </w:rPr>
        <w:t>been</w:t>
      </w:r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FF0000"/>
        </w:rPr>
        <w:t>given</w:t>
      </w:r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FF0000"/>
        </w:rPr>
        <w:t>nothing</w:t>
      </w:r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FF0000"/>
        </w:rPr>
        <w:t>else;</w:t>
      </w:r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FF0000"/>
        </w:rPr>
        <w:t>nor</w:t>
      </w:r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FF0000"/>
        </w:rPr>
        <w:t>do</w:t>
      </w:r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FF0000"/>
        </w:rPr>
        <w:t>they</w:t>
      </w:r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FF0000"/>
        </w:rPr>
        <w:t>need</w:t>
      </w:r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FF0000"/>
        </w:rPr>
        <w:t>anything</w:t>
      </w:r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FF0000"/>
        </w:rPr>
        <w:t>else.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C85530" w:rsidRPr="00C85530" w:rsidRDefault="00C85530" w:rsidP="00C85530">
      <w:pPr>
        <w:shd w:val="clear" w:color="auto" w:fill="FFFFFF"/>
        <w:rPr>
          <w:rStyle w:val="Emphasis"/>
          <w:rFonts w:ascii="Arial" w:hAnsi="Arial" w:cs="Arial"/>
          <w:b/>
          <w:bCs/>
          <w:color w:val="222222"/>
        </w:rPr>
      </w:pPr>
      <w:bookmarkStart w:id="0" w:name="Received_or_Turned_Away"/>
      <w:bookmarkEnd w:id="0"/>
      <w:r w:rsidRPr="00C85530">
        <w:rPr>
          <w:rFonts w:ascii="Arial" w:hAnsi="Arial" w:cs="Arial"/>
          <w:b/>
          <w:bCs/>
          <w:color w:val="222222"/>
        </w:rPr>
        <w:t>These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verses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reveal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Lord’s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dealings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with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two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Christians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who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will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be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field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two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other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Christians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who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will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be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grinding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at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mill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(representative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individuals,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places,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occupations)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when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returns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Style w:val="Emphasis"/>
          <w:rFonts w:ascii="Arial" w:hAnsi="Arial" w:cs="Arial"/>
          <w:b/>
          <w:bCs/>
          <w:color w:val="222222"/>
        </w:rPr>
        <w:t>reckon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with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His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servants;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this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Style w:val="Emphasis"/>
          <w:rFonts w:ascii="Arial" w:hAnsi="Arial" w:cs="Arial"/>
          <w:b/>
          <w:bCs/>
          <w:color w:val="222222"/>
        </w:rPr>
        <w:t>reckoning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WILL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occur,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NOT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field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or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at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mill,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BUT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before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85530">
        <w:rPr>
          <w:rStyle w:val="Emphasis"/>
          <w:rFonts w:ascii="Arial" w:hAnsi="Arial" w:cs="Arial"/>
          <w:b/>
          <w:bCs/>
          <w:color w:val="222222"/>
        </w:rPr>
        <w:t>judgment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85530">
        <w:rPr>
          <w:rStyle w:val="Emphasis"/>
          <w:rFonts w:ascii="Arial" w:hAnsi="Arial" w:cs="Arial"/>
          <w:b/>
          <w:bCs/>
          <w:color w:val="222222"/>
        </w:rPr>
        <w:t>seat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85530">
        <w:rPr>
          <w:rStyle w:val="Emphasis"/>
          <w:rFonts w:ascii="Arial" w:hAnsi="Arial" w:cs="Arial"/>
          <w:b/>
          <w:bCs/>
          <w:color w:val="222222"/>
        </w:rPr>
        <w:t>of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85530">
        <w:rPr>
          <w:rStyle w:val="Emphasis"/>
          <w:rFonts w:ascii="Arial" w:hAnsi="Arial" w:cs="Arial"/>
          <w:b/>
          <w:bCs/>
          <w:color w:val="222222"/>
        </w:rPr>
        <w:t>Christ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85530">
        <w:rPr>
          <w:rStyle w:val="Emphasis"/>
          <w:rFonts w:ascii="Arial" w:hAnsi="Arial" w:cs="Arial"/>
          <w:b/>
          <w:bCs/>
          <w:color w:val="222222"/>
        </w:rPr>
        <w:t>IN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85530">
        <w:rPr>
          <w:rStyle w:val="Emphasis"/>
          <w:rFonts w:ascii="Arial" w:hAnsi="Arial" w:cs="Arial"/>
          <w:b/>
          <w:bCs/>
          <w:color w:val="222222"/>
        </w:rPr>
        <w:t>heaven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85530">
        <w:rPr>
          <w:rStyle w:val="Emphasis"/>
          <w:rFonts w:ascii="Arial" w:hAnsi="Arial" w:cs="Arial"/>
          <w:b/>
          <w:bCs/>
          <w:color w:val="222222"/>
        </w:rPr>
        <w:t>following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85530">
        <w:rPr>
          <w:rStyle w:val="Emphasis"/>
          <w:rFonts w:ascii="Arial" w:hAnsi="Arial" w:cs="Arial"/>
          <w:b/>
          <w:bCs/>
          <w:color w:val="222222"/>
        </w:rPr>
        <w:t>the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85530">
        <w:rPr>
          <w:rStyle w:val="Emphasis"/>
          <w:rFonts w:ascii="Arial" w:hAnsi="Arial" w:cs="Arial"/>
          <w:b/>
          <w:bCs/>
          <w:color w:val="222222"/>
        </w:rPr>
        <w:t>rapture.</w:t>
      </w:r>
    </w:p>
    <w:p w:rsidR="00C85530" w:rsidRPr="00C85530" w:rsidRDefault="00C85530" w:rsidP="00C85530">
      <w:pPr>
        <w:shd w:val="clear" w:color="auto" w:fill="FFFFFF"/>
        <w:rPr>
          <w:rFonts w:ascii="Arial" w:hAnsi="Arial" w:cs="Arial"/>
          <w:color w:val="222222"/>
        </w:rPr>
      </w:pP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22222"/>
        </w:rPr>
      </w:pPr>
      <w:r w:rsidRPr="00C85530">
        <w:rPr>
          <w:rFonts w:ascii="Arial" w:hAnsi="Arial" w:cs="Arial"/>
          <w:b/>
          <w:color w:val="222222"/>
          <w:sz w:val="32"/>
          <w:szCs w:val="32"/>
        </w:rPr>
        <w:t>Received or Turned Away</w:t>
      </w:r>
      <w:r w:rsidRPr="00C85530">
        <w:rPr>
          <w:rFonts w:ascii="Arial" w:hAnsi="Arial" w:cs="Arial"/>
          <w:b/>
          <w:color w:val="222222"/>
          <w:sz w:val="32"/>
          <w:szCs w:val="32"/>
        </w:rPr>
        <w:br/>
      </w:r>
      <w:hyperlink r:id="rId4" w:history="1">
        <w:r w:rsidRPr="00C85530">
          <w:rPr>
            <w:rStyle w:val="Hyperlink"/>
            <w:rFonts w:ascii="Arial" w:hAnsi="Arial" w:cs="Arial"/>
            <w:i/>
            <w:color w:val="0062B5"/>
          </w:rPr>
          <w:t>Matthew 24:40-44</w:t>
        </w:r>
      </w:hyperlink>
      <w:r w:rsidRPr="00C85530">
        <w:rPr>
          <w:rFonts w:ascii="Arial" w:hAnsi="Arial" w:cs="Arial"/>
          <w:i/>
          <w:color w:val="222222"/>
        </w:rPr>
        <w:t xml:space="preserve"> is NOT </w:t>
      </w:r>
      <w:proofErr w:type="gramStart"/>
      <w:r w:rsidRPr="00C85530">
        <w:rPr>
          <w:rFonts w:ascii="Arial" w:hAnsi="Arial" w:cs="Arial"/>
          <w:i/>
          <w:color w:val="222222"/>
        </w:rPr>
        <w:t>The</w:t>
      </w:r>
      <w:proofErr w:type="gramEnd"/>
      <w:r w:rsidRPr="00C85530">
        <w:rPr>
          <w:rFonts w:ascii="Arial" w:hAnsi="Arial" w:cs="Arial"/>
          <w:i/>
          <w:color w:val="222222"/>
        </w:rPr>
        <w:t xml:space="preserve"> Rapture</w:t>
      </w: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F497D"/>
        </w:rPr>
      </w:pPr>
      <w:r w:rsidRPr="00C85530">
        <w:rPr>
          <w:rStyle w:val="Strong"/>
          <w:rFonts w:ascii="Arial" w:hAnsi="Arial" w:cs="Arial"/>
          <w:color w:val="222222"/>
        </w:rPr>
        <w:t>By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C85530">
        <w:rPr>
          <w:rStyle w:val="Strong"/>
          <w:rFonts w:ascii="Arial" w:hAnsi="Arial" w:cs="Arial"/>
          <w:color w:val="222222"/>
        </w:rPr>
        <w:t>Arlen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C85530">
        <w:rPr>
          <w:rStyle w:val="Strong"/>
          <w:rFonts w:ascii="Arial" w:hAnsi="Arial" w:cs="Arial"/>
          <w:color w:val="222222"/>
        </w:rPr>
        <w:t>Chitwood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C85530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hyperlink r:id="rId5" w:history="1">
        <w:r w:rsidRPr="00C85530">
          <w:rPr>
            <w:rStyle w:val="Hyperlink"/>
            <w:rFonts w:ascii="Arial" w:hAnsi="Arial" w:cs="Arial"/>
            <w:b/>
            <w:color w:val="0062B5"/>
          </w:rPr>
          <w:t>Lamp Broadcast</w:t>
        </w:r>
      </w:hyperlink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FF0000"/>
        </w:rPr>
      </w:pPr>
      <w:r w:rsidRPr="00C85530">
        <w:rPr>
          <w:rStyle w:val="Emphasis"/>
          <w:rFonts w:ascii="Arial" w:hAnsi="Arial" w:cs="Arial"/>
          <w:color w:val="FF0000"/>
        </w:rPr>
        <w:t>"Then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there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will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be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two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men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in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field;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one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will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be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taken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and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one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will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be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left.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FF0000"/>
        </w:rPr>
      </w:pPr>
      <w:r w:rsidRPr="00C85530">
        <w:rPr>
          <w:rStyle w:val="Emphasis"/>
          <w:rFonts w:ascii="Arial" w:hAnsi="Arial" w:cs="Arial"/>
          <w:color w:val="FF0000"/>
        </w:rPr>
        <w:t>"Two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women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will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be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grinding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mill;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one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will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be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taken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and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one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will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be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left.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FF0000"/>
        </w:rPr>
      </w:pPr>
      <w:r w:rsidRPr="00C85530">
        <w:rPr>
          <w:rStyle w:val="Emphasis"/>
          <w:rFonts w:ascii="Arial" w:hAnsi="Arial" w:cs="Arial"/>
          <w:color w:val="FF0000"/>
        </w:rPr>
        <w:t>"Therefore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be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on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alert,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for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you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do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not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know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which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day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your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Lord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is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coming.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FF0000"/>
        </w:rPr>
      </w:pPr>
      <w:r w:rsidRPr="00C85530">
        <w:rPr>
          <w:rStyle w:val="Emphasis"/>
          <w:rFonts w:ascii="Arial" w:hAnsi="Arial" w:cs="Arial"/>
          <w:color w:val="FF0000"/>
        </w:rPr>
        <w:t>"But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be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sure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of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this,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that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if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head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of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house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had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known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what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time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of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night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thief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was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coming,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he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would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have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been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on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alert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and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would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not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have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allowed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his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house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to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be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broken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into.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Style w:val="Emphasis"/>
          <w:rFonts w:ascii="Arial" w:hAnsi="Arial" w:cs="Arial"/>
          <w:color w:val="FF0000"/>
        </w:rPr>
        <w:t>"For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this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reason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you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also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must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be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ready;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for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Son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of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Man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is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coming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hour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when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you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do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not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think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He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will.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222222"/>
        </w:rPr>
        <w:t>(</w:t>
      </w:r>
      <w:hyperlink r:id="rId6" w:history="1">
        <w:r w:rsidRPr="00C85530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24:40-44</w:t>
        </w:r>
      </w:hyperlink>
      <w:r w:rsidRPr="00C85530">
        <w:rPr>
          <w:rFonts w:ascii="Arial" w:hAnsi="Arial" w:cs="Arial"/>
          <w:color w:val="222222"/>
        </w:rPr>
        <w:t>)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Style w:val="Emphasis"/>
          <w:rFonts w:ascii="Arial" w:hAnsi="Arial" w:cs="Arial"/>
          <w:color w:val="FF0000"/>
        </w:rPr>
        <w:t>"But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keep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on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alert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all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times,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praying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that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you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may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have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strength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to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escape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all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these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things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that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are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about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to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take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place,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and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to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stand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before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Son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of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Man."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</w:t>
      </w:r>
      <w:hyperlink r:id="rId7" w:history="1">
        <w:r w:rsidRPr="00C85530">
          <w:rPr>
            <w:rStyle w:val="Hyperlink"/>
            <w:rFonts w:ascii="Arial" w:hAnsi="Arial" w:cs="Arial"/>
            <w:color w:val="0062B5"/>
          </w:rPr>
          <w:t>Luke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21:36</w:t>
        </w:r>
      </w:hyperlink>
      <w:r w:rsidRPr="00C85530">
        <w:rPr>
          <w:rFonts w:ascii="Arial" w:hAnsi="Arial" w:cs="Arial"/>
          <w:color w:val="222222"/>
        </w:rPr>
        <w:t>)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text,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</w:t>
      </w:r>
      <w:r w:rsidRPr="00C85530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taken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other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left</w:t>
      </w:r>
      <w:r w:rsidRPr="00C85530"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often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misunderstood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expositors.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misunderstanding,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some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mistakenly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teach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verses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refer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rapture</w:t>
      </w:r>
      <w:r w:rsidRPr="00C85530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removed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left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behind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earth.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view.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mistake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comes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thinking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ones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left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remain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field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mill</w:t>
      </w:r>
      <w:r w:rsidRPr="00C85530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while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others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removed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from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places</w:t>
      </w:r>
      <w:r w:rsidRPr="00C85530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text,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context,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parallel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show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cannot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possibly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case</w:t>
      </w:r>
      <w:r w:rsidRPr="00C85530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verses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reveal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Lord’s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dealings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field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grinding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mill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(representative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individuals,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places,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occupations)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returns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reckon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servants;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reckoning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occur,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field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mill,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judgment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seat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Christ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heaven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following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rapture.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time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place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reckoning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always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same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Scripture</w:t>
      </w:r>
      <w:r w:rsidRPr="00C85530">
        <w:rPr>
          <w:rFonts w:ascii="Arial" w:hAnsi="Arial" w:cs="Arial"/>
          <w:color w:val="222222"/>
        </w:rPr>
        <w:t>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“taken”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</w:t>
      </w:r>
      <w:hyperlink r:id="rId8" w:history="1">
        <w:r w:rsidRPr="00C85530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24:40-41</w:t>
        </w:r>
      </w:hyperlink>
      <w:r w:rsidRPr="00C85530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C85530">
        <w:rPr>
          <w:rStyle w:val="Emphasis"/>
          <w:rFonts w:ascii="Arial" w:hAnsi="Arial" w:cs="Arial"/>
          <w:color w:val="222222"/>
        </w:rPr>
        <w:t>paralambano</w:t>
      </w:r>
      <w:proofErr w:type="spellEnd"/>
      <w:r w:rsidRPr="00C85530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C85530">
        <w:rPr>
          <w:rFonts w:ascii="Arial" w:hAnsi="Arial" w:cs="Arial"/>
          <w:color w:val="222222"/>
        </w:rPr>
        <w:t>compound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comprised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para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(“beside,”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“alongside”)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C85530">
        <w:rPr>
          <w:rStyle w:val="Emphasis"/>
          <w:rFonts w:ascii="Arial" w:hAnsi="Arial" w:cs="Arial"/>
          <w:color w:val="222222"/>
        </w:rPr>
        <w:t>lambano</w:t>
      </w:r>
      <w:proofErr w:type="spellEnd"/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(“to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take,”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receive”).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goes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step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beyond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simply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taking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receiving</w:t>
      </w:r>
      <w:r w:rsidRPr="00C85530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taking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receiving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person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alongside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oneself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</w:t>
      </w:r>
      <w:r w:rsidRPr="00C85530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9" w:history="1">
        <w:r w:rsidRPr="00C85530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17:1</w:t>
        </w:r>
      </w:hyperlink>
      <w:r w:rsidRPr="00C85530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0" w:history="1">
        <w:r w:rsidRPr="00C85530">
          <w:rPr>
            <w:rStyle w:val="Hyperlink"/>
            <w:rFonts w:ascii="Arial" w:hAnsi="Arial" w:cs="Arial"/>
            <w:color w:val="0062B5"/>
          </w:rPr>
          <w:t>20:17</w:t>
        </w:r>
      </w:hyperlink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C85530">
        <w:rPr>
          <w:rStyle w:val="Emphasis"/>
          <w:rFonts w:ascii="Arial" w:hAnsi="Arial" w:cs="Arial"/>
          <w:color w:val="222222"/>
        </w:rPr>
        <w:t>paralambano</w:t>
      </w:r>
      <w:proofErr w:type="spellEnd"/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used).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referring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reception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individual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“associate”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“companion,”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actually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involved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passage.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Then,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“left”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</w:t>
      </w:r>
      <w:hyperlink r:id="rId11" w:history="1">
        <w:r w:rsidRPr="00C85530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24:40-41</w:t>
        </w:r>
      </w:hyperlink>
      <w:r w:rsidRPr="00C85530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C85530">
        <w:rPr>
          <w:rStyle w:val="Emphasis"/>
          <w:rFonts w:ascii="Arial" w:hAnsi="Arial" w:cs="Arial"/>
          <w:color w:val="222222"/>
        </w:rPr>
        <w:t>aphiemi</w:t>
      </w:r>
      <w:proofErr w:type="spellEnd"/>
      <w:r w:rsidRPr="00C85530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antithetical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respect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C85530">
        <w:rPr>
          <w:rStyle w:val="Emphasis"/>
          <w:rFonts w:ascii="Arial" w:hAnsi="Arial" w:cs="Arial"/>
          <w:color w:val="222222"/>
        </w:rPr>
        <w:t>paralambano</w:t>
      </w:r>
      <w:proofErr w:type="spellEnd"/>
      <w:r w:rsidRPr="00C85530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light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C85530">
        <w:rPr>
          <w:rStyle w:val="Emphasis"/>
          <w:rFonts w:ascii="Arial" w:hAnsi="Arial" w:cs="Arial"/>
          <w:color w:val="222222"/>
        </w:rPr>
        <w:t>paralambano</w:t>
      </w:r>
      <w:proofErr w:type="spellEnd"/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used,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C85530">
        <w:rPr>
          <w:rStyle w:val="Emphasis"/>
          <w:rFonts w:ascii="Arial" w:hAnsi="Arial" w:cs="Arial"/>
          <w:color w:val="222222"/>
        </w:rPr>
        <w:t>aphiemi</w:t>
      </w:r>
      <w:proofErr w:type="spellEnd"/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possibly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best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understood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translating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“turn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away.”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involved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passage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Christians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before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judgment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seat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either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received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intimate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sense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turned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away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opposite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sense</w:t>
      </w:r>
      <w:r w:rsidRPr="00C85530">
        <w:rPr>
          <w:rFonts w:ascii="Arial" w:hAnsi="Arial" w:cs="Arial"/>
          <w:color w:val="222222"/>
        </w:rPr>
        <w:t>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parable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Householder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servant,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immediately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follows,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help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explain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things.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verses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referring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all,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faithful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unfaithful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Christians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different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walks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life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appear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before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judgment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seat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heaven</w:t>
      </w:r>
      <w:r w:rsidRPr="00C85530">
        <w:rPr>
          <w:rFonts w:ascii="Arial" w:hAnsi="Arial" w:cs="Arial"/>
          <w:color w:val="222222"/>
        </w:rPr>
        <w:t>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parallel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passage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Luke’s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account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Olivet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Discourse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shows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thing: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Style w:val="Emphasis"/>
          <w:rFonts w:ascii="Arial" w:hAnsi="Arial" w:cs="Arial"/>
          <w:color w:val="FF0000"/>
        </w:rPr>
        <w:t>Watch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therefore,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and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pray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always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that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you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may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be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counted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worthy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to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escape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all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these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things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that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will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come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to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pass,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and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to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stand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before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the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Son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of</w:t>
      </w:r>
      <w:r>
        <w:rPr>
          <w:rStyle w:val="Emphasis"/>
          <w:rFonts w:ascii="Arial" w:hAnsi="Arial" w:cs="Arial"/>
          <w:color w:val="FF0000"/>
        </w:rPr>
        <w:t xml:space="preserve"> </w:t>
      </w:r>
      <w:r w:rsidRPr="00C85530">
        <w:rPr>
          <w:rStyle w:val="Emphasis"/>
          <w:rFonts w:ascii="Arial" w:hAnsi="Arial" w:cs="Arial"/>
          <w:color w:val="FF0000"/>
        </w:rPr>
        <w:t>Man.</w:t>
      </w:r>
      <w:r>
        <w:rPr>
          <w:rFonts w:ascii="Arial" w:hAnsi="Arial" w:cs="Arial"/>
          <w:color w:val="FF0000"/>
        </w:rPr>
        <w:t xml:space="preserve"> </w:t>
      </w:r>
      <w:r w:rsidRPr="00C85530">
        <w:rPr>
          <w:rFonts w:ascii="Arial" w:hAnsi="Arial" w:cs="Arial"/>
          <w:color w:val="222222"/>
        </w:rPr>
        <w:t>(</w:t>
      </w:r>
      <w:hyperlink r:id="rId12" w:history="1">
        <w:r w:rsidRPr="00C85530">
          <w:rPr>
            <w:rStyle w:val="Hyperlink"/>
            <w:rFonts w:ascii="Arial" w:hAnsi="Arial" w:cs="Arial"/>
            <w:color w:val="0062B5"/>
          </w:rPr>
          <w:t>Luke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21:36</w:t>
        </w:r>
      </w:hyperlink>
      <w:r w:rsidRPr="00C85530">
        <w:rPr>
          <w:rFonts w:ascii="Arial" w:hAnsi="Arial" w:cs="Arial"/>
          <w:color w:val="222222"/>
        </w:rPr>
        <w:t>).</w:t>
      </w: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Some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expositors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taken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(usually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attempting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selective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rapture);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but,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again,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correct.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actually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parallel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Luke’s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gospel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hyperlink r:id="rId13" w:history="1">
        <w:r w:rsidRPr="00C85530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24:40-44</w:t>
        </w:r>
      </w:hyperlink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three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parables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follow,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covering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remainder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section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discourse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parable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Householder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servant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</w:t>
      </w:r>
      <w:hyperlink r:id="rId14" w:history="1">
        <w:r w:rsidRPr="00C85530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24:45-51</w:t>
        </w:r>
      </w:hyperlink>
      <w:r w:rsidRPr="00C85530">
        <w:rPr>
          <w:rFonts w:ascii="Arial" w:hAnsi="Arial" w:cs="Arial"/>
          <w:color w:val="222222"/>
        </w:rPr>
        <w:t>],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parable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virgins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</w:t>
      </w:r>
      <w:hyperlink r:id="rId15" w:history="1">
        <w:r w:rsidRPr="00C85530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25:1-13</w:t>
        </w:r>
      </w:hyperlink>
      <w:r w:rsidRPr="00C85530">
        <w:rPr>
          <w:rFonts w:ascii="Arial" w:hAnsi="Arial" w:cs="Arial"/>
          <w:color w:val="222222"/>
        </w:rPr>
        <w:t>],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parable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talents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</w:t>
      </w:r>
      <w:hyperlink r:id="rId16" w:history="1">
        <w:r w:rsidRPr="00C85530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25:14-30</w:t>
        </w:r>
      </w:hyperlink>
      <w:r w:rsidRPr="00C85530">
        <w:rPr>
          <w:rFonts w:ascii="Arial" w:hAnsi="Arial" w:cs="Arial"/>
          <w:color w:val="222222"/>
        </w:rPr>
        <w:t>]).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Again,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text,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context,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related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show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exactly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how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understood.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main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problems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interpretation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lie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</w:t>
      </w:r>
      <w:r w:rsidRPr="00C85530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may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counted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worthy</w:t>
      </w:r>
      <w:r w:rsidRPr="00C85530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</w:t>
      </w:r>
      <w:r w:rsidRPr="00C85530">
        <w:rPr>
          <w:rStyle w:val="Emphasis"/>
          <w:rFonts w:ascii="Arial" w:hAnsi="Arial" w:cs="Arial"/>
          <w:color w:val="222222"/>
        </w:rPr>
        <w:t>escape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things</w:t>
      </w:r>
      <w:r w:rsidRPr="00C85530">
        <w:rPr>
          <w:rFonts w:ascii="Arial" w:hAnsi="Arial" w:cs="Arial"/>
          <w:color w:val="222222"/>
        </w:rPr>
        <w:t>.”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words,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“that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may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counted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worthy,”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better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translated,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</w:t>
      </w:r>
      <w:r w:rsidRPr="00C85530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may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prevail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over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sense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strong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winning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victory]”;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words,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</w:t>
      </w:r>
      <w:r w:rsidRPr="00C85530">
        <w:rPr>
          <w:rStyle w:val="Emphasis"/>
          <w:rFonts w:ascii="Arial" w:hAnsi="Arial" w:cs="Arial"/>
          <w:color w:val="222222"/>
        </w:rPr>
        <w:t>escape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</w:t>
      </w:r>
      <w:r w:rsidRPr="00C85530">
        <w:rPr>
          <w:rStyle w:val="Emphasis"/>
          <w:rFonts w:ascii="Arial" w:hAnsi="Arial" w:cs="Arial"/>
          <w:color w:val="222222"/>
        </w:rPr>
        <w:t>lit</w:t>
      </w:r>
      <w:r w:rsidRPr="00C85530">
        <w:rPr>
          <w:rFonts w:ascii="Arial" w:hAnsi="Arial" w:cs="Arial"/>
          <w:color w:val="222222"/>
        </w:rPr>
        <w:t>.,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‘escape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of’]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things</w:t>
      </w:r>
      <w:r w:rsidRPr="00C85530"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refer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back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immediate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context,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dealing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“surfeiting,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drunkenness,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cares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life”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</w:t>
      </w:r>
      <w:hyperlink r:id="rId17" w:history="1">
        <w:r w:rsidRPr="00C85530">
          <w:rPr>
            <w:rStyle w:val="Hyperlink"/>
            <w:rFonts w:ascii="Arial" w:hAnsi="Arial" w:cs="Arial"/>
            <w:color w:val="0062B5"/>
          </w:rPr>
          <w:t>Luke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21:34-35</w:t>
        </w:r>
      </w:hyperlink>
      <w:r w:rsidRPr="00C85530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exhorting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watch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pray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relative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deliverance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from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involvement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ways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practices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world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</w:t>
      </w:r>
      <w:hyperlink r:id="rId18" w:history="1">
        <w:r w:rsidRPr="00C85530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6:18</w:t>
        </w:r>
      </w:hyperlink>
      <w:r w:rsidRPr="00C85530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19" w:history="1">
        <w:r w:rsidRPr="00C85530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6:10-17</w:t>
        </w:r>
      </w:hyperlink>
      <w:r w:rsidRPr="00C85530">
        <w:rPr>
          <w:rFonts w:ascii="Arial" w:hAnsi="Arial" w:cs="Arial"/>
          <w:color w:val="222222"/>
        </w:rPr>
        <w:t>).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Weymouth,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Testament,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captures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correct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thought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well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presently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available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(also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NASB):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85530">
        <w:rPr>
          <w:rStyle w:val="Emphasis"/>
          <w:rFonts w:ascii="Arial" w:hAnsi="Arial" w:cs="Arial"/>
          <w:color w:val="222222"/>
        </w:rPr>
        <w:t>Beware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slumbering;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times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pray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may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fully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strengthened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escape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from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coming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evils,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take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your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stand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presence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Man.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Note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Wuest’s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“Expanded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Translation”: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85530">
        <w:rPr>
          <w:rStyle w:val="Emphasis"/>
          <w:rFonts w:ascii="Arial" w:hAnsi="Arial" w:cs="Arial"/>
          <w:color w:val="222222"/>
        </w:rPr>
        <w:t>But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circumspect,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attentive,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ready,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every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season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prayer,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order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may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have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sufficient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strength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escaping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things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about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take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place,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stand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before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Man.</w:t>
      </w: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“watch”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“pray”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tense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showing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linear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(continuous)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action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text.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thought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continually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watching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(always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alert,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guard)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continually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praying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strength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necessary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escape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ways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practices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world</w:t>
      </w:r>
      <w:r w:rsidRPr="00C85530">
        <w:rPr>
          <w:rFonts w:ascii="Arial" w:hAnsi="Arial" w:cs="Arial"/>
          <w:color w:val="222222"/>
        </w:rPr>
        <w:t>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“Escape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aorist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infinitive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text,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showing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deliverance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viewed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eventual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</w:t>
      </w:r>
      <w:r w:rsidRPr="00C85530">
        <w:rPr>
          <w:rStyle w:val="Emphasis"/>
          <w:rFonts w:ascii="Arial" w:hAnsi="Arial" w:cs="Arial"/>
          <w:color w:val="222222"/>
        </w:rPr>
        <w:t>i.e.</w:t>
      </w:r>
      <w:r w:rsidRPr="00C85530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viewed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result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continually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watching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praying).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viewed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whole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Weymouth’s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translation),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deliverance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occur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particular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occasions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times.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lastRenderedPageBreak/>
        <w:t>Contextually,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deliverance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one-time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event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rapture),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repeated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occurrences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Wuest’s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translation).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goal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entire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process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ultimately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privileged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</w:t>
      </w:r>
      <w:r w:rsidRPr="00C85530">
        <w:rPr>
          <w:rStyle w:val="Emphasis"/>
          <w:rFonts w:ascii="Arial" w:hAnsi="Arial" w:cs="Arial"/>
          <w:color w:val="222222"/>
        </w:rPr>
        <w:t>stand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before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Man</w:t>
      </w:r>
      <w:r w:rsidRPr="00C85530">
        <w:rPr>
          <w:rFonts w:ascii="Arial" w:hAnsi="Arial" w:cs="Arial"/>
          <w:color w:val="222222"/>
        </w:rPr>
        <w:t>.”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(</w:t>
      </w:r>
      <w:r w:rsidRPr="00C85530">
        <w:rPr>
          <w:rStyle w:val="Emphasis"/>
          <w:rFonts w:ascii="Arial" w:hAnsi="Arial" w:cs="Arial"/>
          <w:color w:val="222222"/>
        </w:rPr>
        <w:t>Aorist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present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tenses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often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misunderstood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misused.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fact,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lot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false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doctrine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resulted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misunderstanding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misuse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tenses.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“aorist”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simply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anglicized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word,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C85530">
        <w:rPr>
          <w:rStyle w:val="Emphasis"/>
          <w:rFonts w:ascii="Arial" w:hAnsi="Arial" w:cs="Arial"/>
          <w:color w:val="222222"/>
        </w:rPr>
        <w:t>aoratos</w:t>
      </w:r>
      <w:proofErr w:type="spellEnd"/>
      <w:r w:rsidRPr="00C85530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“unseen,”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“invisible”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</w:t>
      </w:r>
      <w:proofErr w:type="spellStart"/>
      <w:r w:rsidRPr="00C85530">
        <w:rPr>
          <w:rStyle w:val="Emphasis"/>
          <w:rFonts w:ascii="Arial" w:hAnsi="Arial" w:cs="Arial"/>
          <w:color w:val="222222"/>
        </w:rPr>
        <w:t>aoratos</w:t>
      </w:r>
      <w:proofErr w:type="spellEnd"/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C85530">
        <w:rPr>
          <w:rStyle w:val="Emphasis"/>
          <w:rFonts w:ascii="Arial" w:hAnsi="Arial" w:cs="Arial"/>
          <w:color w:val="222222"/>
        </w:rPr>
        <w:t>horatos</w:t>
      </w:r>
      <w:proofErr w:type="spellEnd"/>
      <w:r w:rsidRPr="00C85530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meaning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see,”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negated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prefix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“a,”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making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C85530">
        <w:rPr>
          <w:rStyle w:val="Emphasis"/>
          <w:rFonts w:ascii="Arial" w:hAnsi="Arial" w:cs="Arial"/>
          <w:color w:val="222222"/>
        </w:rPr>
        <w:t>aoratos</w:t>
      </w:r>
      <w:proofErr w:type="spellEnd"/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mean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opposite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“not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see”].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relative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“tense”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grammar,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refers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“action”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verb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[unseen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action].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Action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aorist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tense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presented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simply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occurring,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without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progress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[which,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verb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itself,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cannot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seen].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action,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contextually,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linear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[continuous,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occurring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time]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punctiliar</w:t>
      </w:r>
      <w:r>
        <w:rPr>
          <w:rStyle w:val="Emphasis"/>
          <w:rFonts w:ascii="Arial" w:hAnsi="Arial" w:cs="Arial"/>
          <w:b/>
          <w:bCs/>
          <w:color w:val="FF0000"/>
        </w:rPr>
        <w:t xml:space="preserve"> </w:t>
      </w:r>
      <w:r w:rsidRPr="00C85530">
        <w:rPr>
          <w:rFonts w:ascii="Arial" w:hAnsi="Arial" w:cs="Arial"/>
          <w:color w:val="222222"/>
        </w:rPr>
        <w:t>[occurring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points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time].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[A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misunderstanding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misuse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aorist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tense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usually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occurs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attempting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see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meaning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name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tense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itself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clearly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states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can’t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seen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—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action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occurring,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invariably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erroneously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viewed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punctiliar</w:t>
      </w:r>
      <w:r w:rsidRPr="00C85530">
        <w:rPr>
          <w:rFonts w:ascii="Arial" w:hAnsi="Arial" w:cs="Arial"/>
          <w:color w:val="222222"/>
        </w:rPr>
        <w:t>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action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represented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paper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grammar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books]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dot</w:t>
      </w:r>
      <w:r w:rsidRPr="00C85530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simply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can’t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describe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type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action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(whether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linear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punctiliar).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dot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often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misleads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people,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thinking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punctiliar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action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described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dot</w:t>
      </w:r>
      <w:r w:rsidRPr="00C85530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isn’t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case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all].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hand,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present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tense</w:t>
      </w:r>
      <w:r w:rsidRPr="00C85530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action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seen,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serves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show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both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linear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punctiliar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action.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general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punctiliar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action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shown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context,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linear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action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understood.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example,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</w:t>
      </w:r>
      <w:r w:rsidRPr="00C85530">
        <w:rPr>
          <w:rStyle w:val="Emphasis"/>
          <w:rFonts w:ascii="Arial" w:hAnsi="Arial" w:cs="Arial"/>
          <w:color w:val="222222"/>
        </w:rPr>
        <w:t>believes</w:t>
      </w:r>
      <w:r w:rsidRPr="00C85530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20" w:history="1">
        <w:r w:rsidRPr="00C85530">
          <w:rPr>
            <w:rStyle w:val="Hyperlink"/>
            <w:rFonts w:ascii="Arial" w:hAnsi="Arial" w:cs="Arial"/>
            <w:color w:val="0062B5"/>
          </w:rPr>
          <w:t>John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3:15-16</w:t>
        </w:r>
      </w:hyperlink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participle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text;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except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context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</w:t>
      </w:r>
      <w:hyperlink r:id="rId21" w:history="1">
        <w:r w:rsidRPr="00C85530">
          <w:rPr>
            <w:rStyle w:val="Hyperlink"/>
            <w:rFonts w:ascii="Arial" w:hAnsi="Arial" w:cs="Arial"/>
            <w:color w:val="0062B5"/>
          </w:rPr>
          <w:t>John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3:14</w:t>
        </w:r>
      </w:hyperlink>
      <w:r w:rsidRPr="00C85530">
        <w:rPr>
          <w:rFonts w:ascii="Arial" w:hAnsi="Arial" w:cs="Arial"/>
          <w:color w:val="222222"/>
        </w:rPr>
        <w:t>],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verses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understood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linear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respect</w:t>
      </w:r>
      <w:r w:rsidRPr="00C85530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context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shows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understood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punctiliar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i.e.</w:t>
      </w:r>
      <w:r w:rsidRPr="00C85530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simply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believe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point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time,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keep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believing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</w:t>
      </w:r>
      <w:r w:rsidRPr="00C85530">
        <w:rPr>
          <w:rStyle w:val="Emphasis"/>
          <w:rFonts w:ascii="Arial" w:hAnsi="Arial" w:cs="Arial"/>
          <w:color w:val="222222"/>
        </w:rPr>
        <w:t>it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look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live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type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</w:t>
      </w:r>
      <w:hyperlink r:id="rId22" w:history="1">
        <w:r w:rsidRPr="00C85530">
          <w:rPr>
            <w:rStyle w:val="Hyperlink"/>
            <w:rFonts w:ascii="Arial" w:hAnsi="Arial" w:cs="Arial"/>
            <w:color w:val="0062B5"/>
          </w:rPr>
          <w:t>John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3:14</w:t>
        </w:r>
      </w:hyperlink>
      <w:r w:rsidRPr="00C85530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well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(it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cannot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way)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look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live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antitype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</w:t>
      </w:r>
      <w:hyperlink r:id="rId23" w:history="1">
        <w:r w:rsidRPr="00C85530">
          <w:rPr>
            <w:rStyle w:val="Hyperlink"/>
            <w:rFonts w:ascii="Arial" w:hAnsi="Arial" w:cs="Arial"/>
            <w:color w:val="0062B5"/>
          </w:rPr>
          <w:t>John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3:15-16</w:t>
        </w:r>
      </w:hyperlink>
      <w:r w:rsidRPr="00C85530">
        <w:rPr>
          <w:rFonts w:ascii="Arial" w:hAnsi="Arial" w:cs="Arial"/>
          <w:color w:val="222222"/>
        </w:rPr>
        <w:t>)].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note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</w:t>
      </w:r>
      <w:r w:rsidRPr="00C85530">
        <w:rPr>
          <w:rStyle w:val="Emphasis"/>
          <w:rFonts w:ascii="Arial" w:hAnsi="Arial" w:cs="Arial"/>
          <w:color w:val="222222"/>
        </w:rPr>
        <w:t>believes</w:t>
      </w:r>
      <w:r w:rsidRPr="00C85530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24" w:history="1">
        <w:r w:rsidRPr="00C85530">
          <w:rPr>
            <w:rStyle w:val="Hyperlink"/>
            <w:rFonts w:ascii="Arial" w:hAnsi="Arial" w:cs="Arial"/>
            <w:color w:val="0062B5"/>
          </w:rPr>
          <w:t>Romans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1:16</w:t>
        </w:r>
      </w:hyperlink>
      <w:r w:rsidRPr="00C85530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participle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text.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context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doesn’t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show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tense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understood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other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linear</w:t>
      </w:r>
      <w:r w:rsidRPr="00C85530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thought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presented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keep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believing</w:t>
      </w:r>
      <w:r w:rsidRPr="00C85530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keep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exercising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faith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[note,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contextually,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nothing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eternal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salvation;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rather,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belief,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faith,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exercised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already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saved].)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Style w:val="Emphasis"/>
          <w:rFonts w:ascii="Arial" w:hAnsi="Arial" w:cs="Arial"/>
          <w:color w:val="222222"/>
        </w:rPr>
        <w:t>Standing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before,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presence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Man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passage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Luke’s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account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Olivet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Discourse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</w:t>
      </w:r>
      <w:hyperlink r:id="rId25" w:history="1">
        <w:r w:rsidRPr="00C85530">
          <w:rPr>
            <w:rStyle w:val="Hyperlink"/>
            <w:rFonts w:ascii="Arial" w:hAnsi="Arial" w:cs="Arial"/>
            <w:color w:val="0062B5"/>
          </w:rPr>
          <w:t>Luke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21:34-36</w:t>
        </w:r>
      </w:hyperlink>
      <w:r w:rsidRPr="00C85530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synonymous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received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intimate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manner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Lord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parallel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section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Matthew’s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account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Olivet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Discourse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</w:t>
      </w:r>
      <w:hyperlink r:id="rId26" w:history="1">
        <w:r w:rsidRPr="00C85530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24:40-44</w:t>
        </w:r>
      </w:hyperlink>
      <w:r w:rsidRPr="00C85530">
        <w:rPr>
          <w:rFonts w:ascii="Arial" w:hAnsi="Arial" w:cs="Arial"/>
          <w:color w:val="222222"/>
        </w:rPr>
        <w:t>).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thought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presented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27" w:history="1">
        <w:r w:rsidRPr="00C85530">
          <w:rPr>
            <w:rStyle w:val="Hyperlink"/>
            <w:rFonts w:ascii="Arial" w:hAnsi="Arial" w:cs="Arial"/>
            <w:color w:val="0062B5"/>
          </w:rPr>
          <w:t>Psalm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24:3-4</w:t>
        </w:r>
      </w:hyperlink>
      <w:r w:rsidRPr="00C85530">
        <w:rPr>
          <w:rFonts w:ascii="Arial" w:hAnsi="Arial" w:cs="Arial"/>
          <w:color w:val="222222"/>
        </w:rPr>
        <w:t>: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85530">
        <w:rPr>
          <w:rStyle w:val="Emphasis"/>
          <w:rFonts w:ascii="Arial" w:hAnsi="Arial" w:cs="Arial"/>
          <w:color w:val="222222"/>
        </w:rPr>
        <w:t>Who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may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ascend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hill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LORD?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who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may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stand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holy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place?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who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has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clean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hands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pure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heart,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who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has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lifted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up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soul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idol,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nor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sworn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deceitfully.</w:t>
      </w: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lastRenderedPageBreak/>
        <w:t>Psalm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twenty-four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Messianic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Psalm;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expression,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</w:t>
      </w:r>
      <w:r w:rsidRPr="00C85530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stand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before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Man</w:t>
      </w:r>
      <w:r w:rsidRPr="00C85530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28" w:history="1">
        <w:r w:rsidRPr="00C85530">
          <w:rPr>
            <w:rStyle w:val="Hyperlink"/>
            <w:rFonts w:ascii="Arial" w:hAnsi="Arial" w:cs="Arial"/>
            <w:color w:val="0062B5"/>
          </w:rPr>
          <w:t>Luke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21:36</w:t>
        </w:r>
      </w:hyperlink>
      <w:r w:rsidRPr="00C85530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Messianic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well.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Style w:val="Emphasis"/>
          <w:rFonts w:ascii="Arial" w:hAnsi="Arial" w:cs="Arial"/>
          <w:color w:val="222222"/>
        </w:rPr>
        <w:t>Ascending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hill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[referring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‘kingdom’;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note</w:t>
      </w:r>
      <w:r>
        <w:rPr>
          <w:rFonts w:ascii="Arial" w:hAnsi="Arial" w:cs="Arial"/>
          <w:color w:val="222222"/>
        </w:rPr>
        <w:t xml:space="preserve"> </w:t>
      </w:r>
      <w:hyperlink r:id="rId29" w:history="1">
        <w:r w:rsidRPr="00C85530">
          <w:rPr>
            <w:rStyle w:val="Hyperlink"/>
            <w:rFonts w:ascii="Arial" w:hAnsi="Arial" w:cs="Arial"/>
            <w:color w:val="0062B5"/>
          </w:rPr>
          <w:t>Psalm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2:6</w:t>
        </w:r>
      </w:hyperlink>
      <w:r w:rsidRPr="00C85530">
        <w:rPr>
          <w:rFonts w:ascii="Arial" w:hAnsi="Arial" w:cs="Arial"/>
          <w:color w:val="222222"/>
        </w:rPr>
        <w:t>]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Lord”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standing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“before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Son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Man”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reserved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“associates”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“companions”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co-heirs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</w:t>
      </w:r>
      <w:r w:rsidRPr="00C85530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30" w:history="1">
        <w:r w:rsidRPr="00C85530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1:9</w:t>
        </w:r>
      </w:hyperlink>
      <w:r w:rsidRPr="00C85530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1" w:history="1">
        <w:r w:rsidRPr="00C85530">
          <w:rPr>
            <w:rStyle w:val="Hyperlink"/>
            <w:rFonts w:ascii="Arial" w:hAnsi="Arial" w:cs="Arial"/>
            <w:color w:val="0062B5"/>
          </w:rPr>
          <w:t>3:1</w:t>
        </w:r>
      </w:hyperlink>
      <w:r w:rsidRPr="00C85530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32" w:history="1">
        <w:r w:rsidRPr="00C85530">
          <w:rPr>
            <w:rStyle w:val="Hyperlink"/>
            <w:rFonts w:ascii="Arial" w:hAnsi="Arial" w:cs="Arial"/>
            <w:color w:val="0062B5"/>
          </w:rPr>
          <w:t>14</w:t>
        </w:r>
      </w:hyperlink>
      <w:r w:rsidRPr="00C85530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 </w:t>
      </w:r>
      <w:r w:rsidRPr="00C85530">
        <w:rPr>
          <w:rFonts w:ascii="Arial" w:hAnsi="Arial" w:cs="Arial"/>
          <w:color w:val="222222"/>
        </w:rPr>
        <w:t>“fellows”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</w:t>
      </w:r>
      <w:hyperlink r:id="rId33" w:history="1">
        <w:r w:rsidRPr="00C85530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1:9,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KJV</w:t>
        </w:r>
      </w:hyperlink>
      <w:r w:rsidRPr="00C85530">
        <w:rPr>
          <w:rFonts w:ascii="Arial" w:hAnsi="Arial" w:cs="Arial"/>
          <w:color w:val="222222"/>
        </w:rPr>
        <w:t>]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“partakers”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</w:t>
      </w:r>
      <w:hyperlink r:id="rId34" w:history="1">
        <w:r w:rsidRPr="00C85530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3:1</w:t>
        </w:r>
      </w:hyperlink>
      <w:r w:rsidRPr="00C85530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35" w:history="1">
        <w:r w:rsidRPr="00C85530">
          <w:rPr>
            <w:rStyle w:val="Hyperlink"/>
            <w:rFonts w:ascii="Arial" w:hAnsi="Arial" w:cs="Arial"/>
            <w:color w:val="0062B5"/>
          </w:rPr>
          <w:t>14</w:t>
        </w:r>
      </w:hyperlink>
      <w:r w:rsidRPr="00C85530">
        <w:rPr>
          <w:rFonts w:ascii="Arial" w:hAnsi="Arial" w:cs="Arial"/>
          <w:color w:val="222222"/>
        </w:rPr>
        <w:t>]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[</w:t>
      </w:r>
      <w:proofErr w:type="spellStart"/>
      <w:r w:rsidRPr="00C85530">
        <w:rPr>
          <w:rStyle w:val="Emphasis"/>
          <w:rFonts w:ascii="Arial" w:hAnsi="Arial" w:cs="Arial"/>
          <w:color w:val="222222"/>
        </w:rPr>
        <w:t>metochoi</w:t>
      </w:r>
      <w:proofErr w:type="spellEnd"/>
      <w:r w:rsidRPr="00C85530">
        <w:rPr>
          <w:rFonts w:ascii="Arial" w:hAnsi="Arial" w:cs="Arial"/>
          <w:color w:val="222222"/>
        </w:rPr>
        <w:t>],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better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rendered,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“associates”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“companions”).</w:t>
      </w:r>
    </w:p>
    <w:p w:rsidR="00C85530" w:rsidRPr="00C85530" w:rsidRDefault="00C85530" w:rsidP="00C855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85530" w:rsidRDefault="00C85530" w:rsidP="00961CA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85530">
        <w:rPr>
          <w:rFonts w:ascii="Arial" w:hAnsi="Arial" w:cs="Arial"/>
          <w:color w:val="222222"/>
        </w:rPr>
        <w:t>(A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similar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statement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36" w:history="1">
        <w:r w:rsidRPr="00C85530">
          <w:rPr>
            <w:rStyle w:val="Hyperlink"/>
            <w:rFonts w:ascii="Arial" w:hAnsi="Arial" w:cs="Arial"/>
            <w:color w:val="0062B5"/>
          </w:rPr>
          <w:t>Luke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21:36</w:t>
        </w:r>
      </w:hyperlink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promise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Philadelphia,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37" w:history="1">
        <w:r w:rsidRPr="00C85530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3:10</w:t>
        </w:r>
      </w:hyperlink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</w:t>
      </w:r>
      <w:r w:rsidRPr="00C85530">
        <w:rPr>
          <w:rStyle w:val="Emphasis"/>
          <w:rFonts w:ascii="Arial" w:hAnsi="Arial" w:cs="Arial"/>
          <w:color w:val="222222"/>
        </w:rPr>
        <w:t>I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also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keep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from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hour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85530">
        <w:rPr>
          <w:rStyle w:val="Emphasis"/>
          <w:rFonts w:ascii="Arial" w:hAnsi="Arial" w:cs="Arial"/>
          <w:color w:val="222222"/>
        </w:rPr>
        <w:t>trial</w:t>
      </w:r>
      <w:r w:rsidRPr="00C85530">
        <w:rPr>
          <w:rFonts w:ascii="Arial" w:hAnsi="Arial" w:cs="Arial"/>
          <w:color w:val="222222"/>
        </w:rPr>
        <w:t>.”</w:t>
      </w:r>
    </w:p>
    <w:p w:rsidR="00665B06" w:rsidRDefault="00665B06" w:rsidP="00961CA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85530" w:rsidRPr="00C85530" w:rsidRDefault="00C85530" w:rsidP="00665B0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bookmarkStart w:id="1" w:name="_GoBack"/>
      <w:r w:rsidRPr="00C85530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information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(</w:t>
      </w:r>
      <w:hyperlink r:id="rId38" w:history="1">
        <w:r w:rsidRPr="00C85530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85530">
          <w:rPr>
            <w:rStyle w:val="Hyperlink"/>
            <w:rFonts w:ascii="Arial" w:hAnsi="Arial" w:cs="Arial"/>
            <w:color w:val="0062B5"/>
          </w:rPr>
          <w:t>3:10</w:t>
        </w:r>
      </w:hyperlink>
      <w:r w:rsidRPr="00C85530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refer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10,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“A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Pillar,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City,”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author’s</w:t>
      </w:r>
      <w:r>
        <w:rPr>
          <w:rFonts w:ascii="Arial" w:hAnsi="Arial" w:cs="Arial"/>
          <w:color w:val="222222"/>
        </w:rPr>
        <w:t xml:space="preserve"> </w:t>
      </w:r>
      <w:r w:rsidRPr="00C85530">
        <w:rPr>
          <w:rFonts w:ascii="Arial" w:hAnsi="Arial" w:cs="Arial"/>
          <w:color w:val="222222"/>
        </w:rPr>
        <w:t>book,</w:t>
      </w:r>
      <w:r>
        <w:rPr>
          <w:rFonts w:ascii="Arial" w:hAnsi="Arial" w:cs="Arial"/>
          <w:color w:val="222222"/>
        </w:rPr>
        <w:t xml:space="preserve"> </w:t>
      </w:r>
      <w:hyperlink r:id="rId39" w:history="1">
        <w:r w:rsidRPr="00C85530">
          <w:rPr>
            <w:rStyle w:val="Hyperlink"/>
            <w:rFonts w:ascii="Arial" w:hAnsi="Arial" w:cs="Arial"/>
            <w:color w:val="2F5597"/>
          </w:rPr>
          <w:t>Bible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C85530">
          <w:rPr>
            <w:rStyle w:val="Hyperlink"/>
            <w:rFonts w:ascii="Arial" w:hAnsi="Arial" w:cs="Arial"/>
            <w:color w:val="2F5597"/>
          </w:rPr>
          <w:t>One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C85530">
          <w:rPr>
            <w:rStyle w:val="Hyperlink"/>
            <w:rFonts w:ascii="Arial" w:hAnsi="Arial" w:cs="Arial"/>
            <w:color w:val="2F5597"/>
          </w:rPr>
          <w:t>-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C85530">
          <w:rPr>
            <w:rStyle w:val="Hyperlink"/>
            <w:rFonts w:ascii="Arial" w:hAnsi="Arial" w:cs="Arial"/>
            <w:color w:val="2F5597"/>
          </w:rPr>
          <w:t>Arlen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C85530">
          <w:rPr>
            <w:rStyle w:val="Hyperlink"/>
            <w:rFonts w:ascii="Arial" w:hAnsi="Arial" w:cs="Arial"/>
            <w:color w:val="2F5597"/>
          </w:rPr>
          <w:t>Chitwood's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C85530">
          <w:rPr>
            <w:rStyle w:val="Hyperlink"/>
            <w:rFonts w:ascii="Arial" w:hAnsi="Arial" w:cs="Arial"/>
            <w:color w:val="2F5597"/>
          </w:rPr>
          <w:t>Judgment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C85530">
          <w:rPr>
            <w:rStyle w:val="Hyperlink"/>
            <w:rFonts w:ascii="Arial" w:hAnsi="Arial" w:cs="Arial"/>
            <w:color w:val="2F5597"/>
          </w:rPr>
          <w:t>Seat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C85530">
          <w:rPr>
            <w:rStyle w:val="Hyperlink"/>
            <w:rFonts w:ascii="Arial" w:hAnsi="Arial" w:cs="Arial"/>
            <w:color w:val="2F5597"/>
          </w:rPr>
          <w:t>of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C85530">
          <w:rPr>
            <w:rStyle w:val="Hyperlink"/>
            <w:rFonts w:ascii="Arial" w:hAnsi="Arial" w:cs="Arial"/>
            <w:color w:val="2F5597"/>
          </w:rPr>
          <w:t>Christ,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C85530">
          <w:rPr>
            <w:rStyle w:val="Hyperlink"/>
            <w:rFonts w:ascii="Arial" w:hAnsi="Arial" w:cs="Arial"/>
            <w:color w:val="2F5597"/>
          </w:rPr>
          <w:t>Ch.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C85530">
          <w:rPr>
            <w:rStyle w:val="Hyperlink"/>
            <w:rFonts w:ascii="Arial" w:hAnsi="Arial" w:cs="Arial"/>
            <w:color w:val="2F5597"/>
          </w:rPr>
          <w:t>10</w:t>
        </w:r>
      </w:hyperlink>
      <w:r w:rsidRPr="00C85530">
        <w:rPr>
          <w:rFonts w:ascii="Arial" w:hAnsi="Arial" w:cs="Arial"/>
          <w:color w:val="000000"/>
        </w:rPr>
        <w:t>.</w:t>
      </w:r>
      <w:r w:rsidRPr="00C85530">
        <w:rPr>
          <w:rFonts w:ascii="Arial" w:hAnsi="Arial" w:cs="Arial"/>
          <w:color w:val="222222"/>
        </w:rPr>
        <w:t>)</w:t>
      </w:r>
    </w:p>
    <w:bookmarkEnd w:id="1"/>
    <w:p w:rsidR="00B51BB6" w:rsidRPr="00C85530" w:rsidRDefault="00665B06" w:rsidP="00C85530">
      <w:pPr>
        <w:rPr>
          <w:rFonts w:ascii="Arial" w:hAnsi="Arial" w:cs="Arial"/>
        </w:rPr>
      </w:pPr>
      <w:r>
        <w:rPr>
          <w:rFonts w:ascii="Arial" w:hAnsi="Arial" w:cs="Arial"/>
        </w:rPr>
        <w:t>~~~~~~~~~~~~~~~~~~~~~~~~~~~~~~~~~~~~~~~~~~~~~~~~~~~~~~~~~~~~~~~~~~~~~~~~~~~~~</w:t>
      </w:r>
    </w:p>
    <w:sectPr w:rsidR="00B51BB6" w:rsidRPr="00C85530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30"/>
    <w:rsid w:val="00665B06"/>
    <w:rsid w:val="00774C51"/>
    <w:rsid w:val="00961CA8"/>
    <w:rsid w:val="00B51BB6"/>
    <w:rsid w:val="00BA5AD1"/>
    <w:rsid w:val="00C8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67068-C037-4993-952E-A2CA4024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530"/>
    <w:pPr>
      <w:ind w:left="0"/>
    </w:pPr>
    <w:rPr>
      <w:rFonts w:ascii="Times New Roman" w:eastAsia="Times New Roman" w:hAnsi="Times New Roman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53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8553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8553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5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380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613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18823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50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84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45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607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0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9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Matthew+24.40-41&amp;t=NKJV" TargetMode="External"/><Relationship Id="rId13" Type="http://schemas.openxmlformats.org/officeDocument/2006/relationships/hyperlink" Target="https://www.blueletterbible.org/search/preSearch.cfm?Criteria=Matthew+24.40-44&amp;t=NKJV" TargetMode="External"/><Relationship Id="rId18" Type="http://schemas.openxmlformats.org/officeDocument/2006/relationships/hyperlink" Target="https://www.blueletterbible.org/search/preSearch.cfm?Criteria=Ephesians+6.18&amp;t=NKJV" TargetMode="External"/><Relationship Id="rId26" Type="http://schemas.openxmlformats.org/officeDocument/2006/relationships/hyperlink" Target="https://www.blueletterbible.org/search/preSearch.cfm?Criteria=Matthew+24.40-44&amp;t=NKJV" TargetMode="External"/><Relationship Id="rId39" Type="http://schemas.openxmlformats.org/officeDocument/2006/relationships/hyperlink" Target="http://bibleone.net/JSC10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John+3.14&amp;t=NKJV" TargetMode="External"/><Relationship Id="rId34" Type="http://schemas.openxmlformats.org/officeDocument/2006/relationships/hyperlink" Target="https://www.blueletterbible.org/search/preSearch.cfm?Criteria=Hebrews+3.1&amp;t=NKJV" TargetMode="External"/><Relationship Id="rId7" Type="http://schemas.openxmlformats.org/officeDocument/2006/relationships/hyperlink" Target="https://www.blueletterbible.org/search/preSearch.cfm?Criteria=Luke+21.36&amp;t=NKJV" TargetMode="External"/><Relationship Id="rId12" Type="http://schemas.openxmlformats.org/officeDocument/2006/relationships/hyperlink" Target="https://www.blueletterbible.org/search/preSearch.cfm?Criteria=Luke+21.36&amp;t=NKJV" TargetMode="External"/><Relationship Id="rId17" Type="http://schemas.openxmlformats.org/officeDocument/2006/relationships/hyperlink" Target="https://www.blueletterbible.org/search/preSearch.cfm?Criteria=Luke+21.34-35&amp;t=NKJV" TargetMode="External"/><Relationship Id="rId25" Type="http://schemas.openxmlformats.org/officeDocument/2006/relationships/hyperlink" Target="https://www.blueletterbible.org/search/preSearch.cfm?Criteria=Luke+21.34-36&amp;t=NKJV" TargetMode="External"/><Relationship Id="rId33" Type="http://schemas.openxmlformats.org/officeDocument/2006/relationships/hyperlink" Target="https://www.blueletterbible.org/search/preSearch.cfm?Criteria=Hebrews+1.9&amp;t=KJV" TargetMode="External"/><Relationship Id="rId38" Type="http://schemas.openxmlformats.org/officeDocument/2006/relationships/hyperlink" Target="https://www.blueletterbible.org/search/preSearch.cfm?Criteria=Revelation+3.10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Matthew+25.14-30&amp;t=NKJV" TargetMode="External"/><Relationship Id="rId20" Type="http://schemas.openxmlformats.org/officeDocument/2006/relationships/hyperlink" Target="https://www.blueletterbible.org/search/preSearch.cfm?Criteria=John+3.15-16&amp;t=NKJV" TargetMode="External"/><Relationship Id="rId29" Type="http://schemas.openxmlformats.org/officeDocument/2006/relationships/hyperlink" Target="https://www.blueletterbible.org/search/preSearch.cfm?Criteria=Psalm+2.6&amp;t=NKJV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tthew+24.40-44&amp;t=NKJV" TargetMode="External"/><Relationship Id="rId11" Type="http://schemas.openxmlformats.org/officeDocument/2006/relationships/hyperlink" Target="https://www.blueletterbible.org/search/preSearch.cfm?Criteria=Matthew+24.40-41&amp;t=NKJV" TargetMode="External"/><Relationship Id="rId24" Type="http://schemas.openxmlformats.org/officeDocument/2006/relationships/hyperlink" Target="https://www.blueletterbible.org/search/preSearch.cfm?Criteria=Romans+1.16&amp;t=NKJV" TargetMode="External"/><Relationship Id="rId32" Type="http://schemas.openxmlformats.org/officeDocument/2006/relationships/hyperlink" Target="https://www.blueletterbible.org/search/preSearch.cfm?Criteria=Hebrews+3.14&amp;t=NKJV" TargetMode="External"/><Relationship Id="rId37" Type="http://schemas.openxmlformats.org/officeDocument/2006/relationships/hyperlink" Target="https://www.blueletterbible.org/search/preSearch.cfm?Criteria=Revelation+3.10&amp;t=NKJV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lampbroadcast.org/" TargetMode="External"/><Relationship Id="rId15" Type="http://schemas.openxmlformats.org/officeDocument/2006/relationships/hyperlink" Target="https://www.blueletterbible.org/search/preSearch.cfm?Criteria=Matthew+25.1-13&amp;t=NKJV" TargetMode="External"/><Relationship Id="rId23" Type="http://schemas.openxmlformats.org/officeDocument/2006/relationships/hyperlink" Target="https://www.blueletterbible.org/search/preSearch.cfm?Criteria=John+3.15-16&amp;t=NKJV" TargetMode="External"/><Relationship Id="rId28" Type="http://schemas.openxmlformats.org/officeDocument/2006/relationships/hyperlink" Target="https://www.blueletterbible.org/search/preSearch.cfm?Criteria=Luke+21.36&amp;t=NKJV" TargetMode="External"/><Relationship Id="rId36" Type="http://schemas.openxmlformats.org/officeDocument/2006/relationships/hyperlink" Target="https://www.blueletterbible.org/search/preSearch.cfm?Criteria=Luke+21.36&amp;t=NKJV" TargetMode="External"/><Relationship Id="rId10" Type="http://schemas.openxmlformats.org/officeDocument/2006/relationships/hyperlink" Target="https://www.blueletterbible.org/search/preSearch.cfm?Criteria=Matthew+20.17&amp;t=NKJV" TargetMode="External"/><Relationship Id="rId19" Type="http://schemas.openxmlformats.org/officeDocument/2006/relationships/hyperlink" Target="https://www.blueletterbible.org/search/preSearch.cfm?Criteria=Ephesians+6.10-17&amp;t=NKJV" TargetMode="External"/><Relationship Id="rId31" Type="http://schemas.openxmlformats.org/officeDocument/2006/relationships/hyperlink" Target="https://www.blueletterbible.org/search/preSearch.cfm?Criteria=Hebrews+3.1&amp;t=NKJV" TargetMode="External"/><Relationship Id="rId4" Type="http://schemas.openxmlformats.org/officeDocument/2006/relationships/hyperlink" Target="https://www.blueletterbible.org/search/preSearch.cfm?Criteria=Matthew+24.40-44&amp;t=NKJV" TargetMode="External"/><Relationship Id="rId9" Type="http://schemas.openxmlformats.org/officeDocument/2006/relationships/hyperlink" Target="https://www.blueletterbible.org/search/preSearch.cfm?Criteria=Matthew+17.1&amp;t=NKJV" TargetMode="External"/><Relationship Id="rId14" Type="http://schemas.openxmlformats.org/officeDocument/2006/relationships/hyperlink" Target="https://www.blueletterbible.org/search/preSearch.cfm?Criteria=Matthew+24.45-51&amp;t=NKJV" TargetMode="External"/><Relationship Id="rId22" Type="http://schemas.openxmlformats.org/officeDocument/2006/relationships/hyperlink" Target="https://www.blueletterbible.org/search/preSearch.cfm?Criteria=John+3.14&amp;t=NKJV" TargetMode="External"/><Relationship Id="rId27" Type="http://schemas.openxmlformats.org/officeDocument/2006/relationships/hyperlink" Target="https://www.blueletterbible.org/search/preSearch.cfm?Criteria=Psalm+24.3-4&amp;t=NKJV" TargetMode="External"/><Relationship Id="rId30" Type="http://schemas.openxmlformats.org/officeDocument/2006/relationships/hyperlink" Target="https://www.blueletterbible.org/search/preSearch.cfm?Criteria=Hebrews+1.9&amp;t=NKJV" TargetMode="External"/><Relationship Id="rId35" Type="http://schemas.openxmlformats.org/officeDocument/2006/relationships/hyperlink" Target="https://www.blueletterbible.org/search/preSearch.cfm?Criteria=Hebrews+3.14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2020-09-08T16:45:00Z</dcterms:created>
  <dcterms:modified xsi:type="dcterms:W3CDTF">2020-09-08T17:18:00Z</dcterms:modified>
</cp:coreProperties>
</file>