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E5" w:rsidRDefault="006B54E5" w:rsidP="006B54E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B54E5">
        <w:rPr>
          <w:rFonts w:eastAsia="Times New Roman"/>
          <w:b/>
          <w:bCs/>
          <w:color w:val="222222"/>
        </w:rPr>
        <w:t>As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present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age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(Man’s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Day)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has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purpose,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so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will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millennial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age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(the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Lord’s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Day);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and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i/>
          <w:iCs/>
          <w:color w:val="222222"/>
        </w:rPr>
        <w:t>the</w:t>
      </w:r>
      <w:r w:rsidR="00146848">
        <w:rPr>
          <w:rFonts w:eastAsia="Times New Roman"/>
          <w:b/>
          <w:bCs/>
          <w:i/>
          <w:iCs/>
          <w:color w:val="222222"/>
        </w:rPr>
        <w:t xml:space="preserve"> </w:t>
      </w:r>
      <w:r w:rsidRPr="006B54E5">
        <w:rPr>
          <w:rFonts w:eastAsia="Times New Roman"/>
          <w:b/>
          <w:bCs/>
          <w:i/>
          <w:iCs/>
          <w:color w:val="222222"/>
        </w:rPr>
        <w:t>ultimate</w:t>
      </w:r>
      <w:r w:rsidR="00146848">
        <w:rPr>
          <w:rFonts w:eastAsia="Times New Roman"/>
          <w:b/>
          <w:bCs/>
          <w:i/>
          <w:iCs/>
          <w:color w:val="222222"/>
        </w:rPr>
        <w:t xml:space="preserve"> </w:t>
      </w:r>
      <w:r w:rsidRPr="006B54E5">
        <w:rPr>
          <w:rFonts w:eastAsia="Times New Roman"/>
          <w:b/>
          <w:bCs/>
          <w:i/>
          <w:iCs/>
          <w:color w:val="222222"/>
        </w:rPr>
        <w:t>goal</w:t>
      </w:r>
      <w:r w:rsidR="00146848">
        <w:rPr>
          <w:rFonts w:eastAsia="Times New Roman"/>
          <w:b/>
          <w:bCs/>
          <w:i/>
          <w:iCs/>
          <w:color w:val="222222"/>
        </w:rPr>
        <w:t xml:space="preserve"> </w:t>
      </w:r>
      <w:r w:rsidRPr="006B54E5">
        <w:rPr>
          <w:rFonts w:eastAsia="Times New Roman"/>
          <w:b/>
          <w:bCs/>
          <w:i/>
          <w:iCs/>
          <w:color w:val="222222"/>
        </w:rPr>
        <w:t>of</w:t>
      </w:r>
      <w:r w:rsidR="00146848">
        <w:rPr>
          <w:rFonts w:eastAsia="Times New Roman"/>
          <w:b/>
          <w:bCs/>
          <w:i/>
          <w:iCs/>
          <w:color w:val="222222"/>
        </w:rPr>
        <w:t xml:space="preserve"> </w:t>
      </w:r>
      <w:r w:rsidRPr="006B54E5">
        <w:rPr>
          <w:rFonts w:eastAsia="Times New Roman"/>
          <w:b/>
          <w:bCs/>
          <w:i/>
          <w:iCs/>
          <w:color w:val="222222"/>
        </w:rPr>
        <w:t>all</w:t>
      </w:r>
      <w:r w:rsidR="00146848">
        <w:rPr>
          <w:rFonts w:eastAsia="Times New Roman"/>
          <w:b/>
          <w:bCs/>
          <w:i/>
          <w:i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will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be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realized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in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ages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beyond.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rulers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for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millennial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age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are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being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acquired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during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present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age;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and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during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millennial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age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these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rulers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will,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as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co-heirs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with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Christ,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participate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in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age-long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work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of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bringing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all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things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under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subjection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to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Christ.</w:t>
      </w:r>
    </w:p>
    <w:p w:rsidR="006B54E5" w:rsidRP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Pr="004854D7" w:rsidRDefault="006B54E5" w:rsidP="006B54E5">
      <w:pPr>
        <w:shd w:val="clear" w:color="auto" w:fill="FFFFFF"/>
        <w:ind w:left="0"/>
        <w:rPr>
          <w:rFonts w:eastAsia="Times New Roman"/>
          <w:b/>
          <w:color w:val="1F497D"/>
          <w:u w:val="single"/>
        </w:rPr>
      </w:pPr>
      <w:r w:rsidRPr="006B54E5">
        <w:rPr>
          <w:rFonts w:eastAsia="Times New Roman"/>
          <w:b/>
          <w:color w:val="222222"/>
          <w:sz w:val="32"/>
          <w:szCs w:val="32"/>
        </w:rPr>
        <w:t>The</w:t>
      </w:r>
      <w:r w:rsidR="00146848">
        <w:rPr>
          <w:rFonts w:eastAsia="Times New Roman"/>
          <w:b/>
          <w:color w:val="222222"/>
          <w:sz w:val="32"/>
          <w:szCs w:val="32"/>
        </w:rPr>
        <w:t xml:space="preserve"> </w:t>
      </w:r>
      <w:r w:rsidRPr="006B54E5">
        <w:rPr>
          <w:rFonts w:eastAsia="Times New Roman"/>
          <w:b/>
          <w:color w:val="222222"/>
          <w:sz w:val="32"/>
          <w:szCs w:val="32"/>
        </w:rPr>
        <w:t>Eternal</w:t>
      </w:r>
      <w:r w:rsidR="00146848">
        <w:rPr>
          <w:rFonts w:eastAsia="Times New Roman"/>
          <w:b/>
          <w:color w:val="222222"/>
          <w:sz w:val="32"/>
          <w:szCs w:val="32"/>
        </w:rPr>
        <w:t xml:space="preserve"> </w:t>
      </w:r>
      <w:r w:rsidRPr="006B54E5">
        <w:rPr>
          <w:rFonts w:eastAsia="Times New Roman"/>
          <w:b/>
          <w:color w:val="222222"/>
          <w:sz w:val="32"/>
          <w:szCs w:val="32"/>
        </w:rPr>
        <w:t>Ages</w:t>
      </w:r>
      <w:r w:rsidRPr="006B54E5">
        <w:rPr>
          <w:rFonts w:eastAsia="Times New Roman"/>
          <w:b/>
          <w:color w:val="222222"/>
          <w:sz w:val="32"/>
          <w:szCs w:val="32"/>
        </w:rPr>
        <w:br/>
      </w:r>
      <w:r w:rsidRPr="004854D7">
        <w:rPr>
          <w:rFonts w:eastAsia="Times New Roman"/>
          <w:b/>
          <w:bCs/>
          <w:color w:val="222222"/>
        </w:rPr>
        <w:t>By</w:t>
      </w:r>
      <w:r w:rsidR="00146848" w:rsidRPr="004854D7">
        <w:rPr>
          <w:rFonts w:eastAsia="Times New Roman"/>
          <w:b/>
          <w:bCs/>
          <w:color w:val="222222"/>
        </w:rPr>
        <w:t xml:space="preserve"> </w:t>
      </w:r>
      <w:r w:rsidRPr="004854D7">
        <w:rPr>
          <w:rFonts w:eastAsia="Times New Roman"/>
          <w:b/>
          <w:bCs/>
          <w:color w:val="222222"/>
        </w:rPr>
        <w:t>Arlen</w:t>
      </w:r>
      <w:r w:rsidR="00146848" w:rsidRPr="004854D7">
        <w:rPr>
          <w:rFonts w:eastAsia="Times New Roman"/>
          <w:b/>
          <w:bCs/>
          <w:color w:val="222222"/>
        </w:rPr>
        <w:t xml:space="preserve"> </w:t>
      </w:r>
      <w:r w:rsidRPr="004854D7">
        <w:rPr>
          <w:rFonts w:eastAsia="Times New Roman"/>
          <w:b/>
          <w:bCs/>
          <w:color w:val="222222"/>
        </w:rPr>
        <w:t>L.</w:t>
      </w:r>
      <w:r w:rsidR="00146848" w:rsidRPr="004854D7">
        <w:rPr>
          <w:rFonts w:eastAsia="Times New Roman"/>
          <w:b/>
          <w:bCs/>
          <w:color w:val="222222"/>
        </w:rPr>
        <w:t xml:space="preserve"> </w:t>
      </w:r>
      <w:r w:rsidRPr="004854D7">
        <w:rPr>
          <w:rFonts w:eastAsia="Times New Roman"/>
          <w:b/>
          <w:bCs/>
          <w:color w:val="222222"/>
        </w:rPr>
        <w:t>Chitwood</w:t>
      </w:r>
      <w:r w:rsidR="00146848" w:rsidRPr="004854D7">
        <w:rPr>
          <w:rFonts w:eastAsia="Times New Roman"/>
          <w:b/>
          <w:bCs/>
          <w:color w:val="222222"/>
        </w:rPr>
        <w:t xml:space="preserve"> </w:t>
      </w:r>
      <w:r w:rsidRPr="004854D7">
        <w:rPr>
          <w:rFonts w:eastAsia="Times New Roman"/>
          <w:b/>
          <w:bCs/>
          <w:color w:val="222222"/>
        </w:rPr>
        <w:t>of</w:t>
      </w:r>
      <w:r w:rsidR="00146848" w:rsidRPr="004854D7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4854D7">
          <w:rPr>
            <w:rFonts w:eastAsia="Times New Roman"/>
            <w:b/>
            <w:color w:val="1F497D"/>
            <w:u w:val="single"/>
          </w:rPr>
          <w:t>Lamp</w:t>
        </w:r>
        <w:r w:rsidR="00146848" w:rsidRPr="004854D7">
          <w:rPr>
            <w:rFonts w:eastAsia="Times New Roman"/>
            <w:b/>
            <w:color w:val="1F497D"/>
            <w:u w:val="single"/>
          </w:rPr>
          <w:t xml:space="preserve"> </w:t>
        </w:r>
        <w:r w:rsidRPr="004854D7">
          <w:rPr>
            <w:rFonts w:eastAsia="Times New Roman"/>
            <w:b/>
            <w:color w:val="1F497D"/>
            <w:u w:val="single"/>
          </w:rPr>
          <w:t>Broadcast</w:t>
        </w:r>
      </w:hyperlink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Pr="006B54E5" w:rsidRDefault="006B54E5" w:rsidP="006B54E5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r w:rsidRPr="006B54E5">
        <w:rPr>
          <w:rFonts w:eastAsia="Times New Roman"/>
          <w:b/>
          <w:bCs/>
          <w:color w:val="222222"/>
        </w:rPr>
        <w:t>Contents:</w:t>
      </w:r>
    </w:p>
    <w:p w:rsidR="006B54E5" w:rsidRPr="006B54E5" w:rsidRDefault="004854D7" w:rsidP="006B54E5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5" w:anchor="Intro" w:history="1">
        <w:r w:rsidR="006B54E5" w:rsidRPr="006B54E5">
          <w:rPr>
            <w:rFonts w:eastAsia="Times New Roman"/>
            <w:color w:val="0062B5"/>
            <w:u w:val="single"/>
          </w:rPr>
          <w:t>Intro</w:t>
        </w:r>
      </w:hyperlink>
    </w:p>
    <w:p w:rsidR="006B54E5" w:rsidRPr="006B54E5" w:rsidRDefault="004854D7" w:rsidP="006B54E5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6" w:anchor="The%20Tree%20of%20Life" w:history="1">
        <w:r w:rsidR="006B54E5" w:rsidRPr="006B54E5">
          <w:rPr>
            <w:rFonts w:eastAsia="Times New Roman"/>
            <w:color w:val="0062B5"/>
            <w:u w:val="single"/>
          </w:rPr>
          <w:t>The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Tree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of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Life</w:t>
        </w:r>
      </w:hyperlink>
    </w:p>
    <w:p w:rsidR="006B54E5" w:rsidRPr="006B54E5" w:rsidRDefault="004854D7" w:rsidP="006B54E5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7" w:anchor="Duration%20of%20Power%20and%20Authority" w:history="1">
        <w:r w:rsidR="006B54E5" w:rsidRPr="006B54E5">
          <w:rPr>
            <w:rFonts w:eastAsia="Times New Roman"/>
            <w:color w:val="0062B5"/>
            <w:u w:val="single"/>
          </w:rPr>
          <w:t>Duration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of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Power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and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Authority</w:t>
        </w:r>
      </w:hyperlink>
    </w:p>
    <w:p w:rsidR="006B54E5" w:rsidRPr="006B54E5" w:rsidRDefault="004854D7" w:rsidP="006B54E5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8" w:anchor="Crowns,%20Rewards%20%E2%80%94%20Millennial%20or%20Eternal" w:history="1">
        <w:r w:rsidR="006B54E5" w:rsidRPr="006B54E5">
          <w:rPr>
            <w:rFonts w:eastAsia="Times New Roman"/>
            <w:color w:val="0062B5"/>
            <w:u w:val="single"/>
          </w:rPr>
          <w:t>Crowns,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Rewards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—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Millennial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or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Eternal</w:t>
        </w:r>
      </w:hyperlink>
    </w:p>
    <w:p w:rsidR="006B54E5" w:rsidRPr="006B54E5" w:rsidRDefault="004854D7" w:rsidP="006B54E5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9" w:anchor="All%20Things%20New" w:history="1">
        <w:r w:rsidR="006B54E5" w:rsidRPr="006B54E5">
          <w:rPr>
            <w:rFonts w:eastAsia="Times New Roman"/>
            <w:color w:val="0062B5"/>
            <w:u w:val="single"/>
          </w:rPr>
          <w:t>All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Things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="006B54E5" w:rsidRPr="006B54E5">
          <w:rPr>
            <w:rFonts w:eastAsia="Times New Roman"/>
            <w:color w:val="0062B5"/>
            <w:u w:val="single"/>
          </w:rPr>
          <w:t>New</w:t>
        </w:r>
      </w:hyperlink>
    </w:p>
    <w:p w:rsidR="006B54E5" w:rsidRDefault="006B54E5" w:rsidP="006B54E5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</w:p>
    <w:p w:rsidR="004854D7" w:rsidRDefault="004854D7" w:rsidP="004854D7">
      <w:pPr>
        <w:shd w:val="clear" w:color="auto" w:fill="FFFFFF"/>
        <w:ind w:left="0"/>
        <w:textAlignment w:val="top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EE325D" w:rsidRPr="006B54E5" w:rsidRDefault="00EE325D" w:rsidP="004854D7">
      <w:pPr>
        <w:shd w:val="clear" w:color="auto" w:fill="FFFFFF"/>
        <w:ind w:left="0"/>
        <w:textAlignment w:val="top"/>
        <w:rPr>
          <w:rFonts w:eastAsia="Times New Roman"/>
          <w:color w:val="222222"/>
        </w:rPr>
      </w:pPr>
      <w:bookmarkStart w:id="0" w:name="_GoBack"/>
      <w:bookmarkEnd w:id="0"/>
    </w:p>
    <w:p w:rsidR="006B54E5" w:rsidRP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b/>
          <w:bCs/>
          <w:color w:val="222222"/>
        </w:rPr>
        <w:t>Intro</w:t>
      </w:r>
    </w:p>
    <w:p w:rsidR="006B54E5" w:rsidRP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Now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saw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heaven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earth,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first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heaven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first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earth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passed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away.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Also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there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more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sea.</w:t>
      </w:r>
    </w:p>
    <w:p w:rsidR="004854D7" w:rsidRPr="006B54E5" w:rsidRDefault="004854D7" w:rsidP="006B54E5">
      <w:pPr>
        <w:shd w:val="clear" w:color="auto" w:fill="FFFFFF"/>
        <w:ind w:left="60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Then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John,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saw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holy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city,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Jerusalem,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coming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down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heaven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from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prepared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bride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adorned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husband.</w:t>
      </w:r>
    </w:p>
    <w:p w:rsidR="004854D7" w:rsidRPr="006B54E5" w:rsidRDefault="004854D7" w:rsidP="006B54E5">
      <w:pPr>
        <w:shd w:val="clear" w:color="auto" w:fill="FFFFFF"/>
        <w:ind w:left="60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Then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said,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“Behold,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make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things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new.”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 w:rsidR="00146848">
        <w:rPr>
          <w:rFonts w:eastAsia="Times New Roman"/>
          <w:i/>
          <w:iCs/>
          <w:color w:val="222222"/>
        </w:rPr>
        <w:t xml:space="preserve"> </w:t>
      </w:r>
    </w:p>
    <w:p w:rsidR="004854D7" w:rsidRPr="006B54E5" w:rsidRDefault="004854D7" w:rsidP="006B54E5">
      <w:pPr>
        <w:shd w:val="clear" w:color="auto" w:fill="FFFFFF"/>
        <w:ind w:left="60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said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me,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“It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done!”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</w:p>
    <w:p w:rsidR="004854D7" w:rsidRPr="006B54E5" w:rsidRDefault="004854D7" w:rsidP="006B54E5">
      <w:pPr>
        <w:shd w:val="clear" w:color="auto" w:fill="FFFFFF"/>
        <w:ind w:left="60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showed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pure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river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water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clear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crystal,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proceeding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from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Lamb.</w:t>
      </w:r>
    </w:p>
    <w:p w:rsidR="004854D7" w:rsidRPr="006B54E5" w:rsidRDefault="004854D7" w:rsidP="006B54E5">
      <w:pPr>
        <w:shd w:val="clear" w:color="auto" w:fill="FFFFFF"/>
        <w:ind w:left="60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middle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its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street,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either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side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river,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which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bore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twelve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fruits,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each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yielding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its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fruit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every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month.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leaves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were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healing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nations.</w:t>
      </w:r>
    </w:p>
    <w:p w:rsidR="004854D7" w:rsidRPr="006B54E5" w:rsidRDefault="004854D7" w:rsidP="006B54E5">
      <w:pPr>
        <w:shd w:val="clear" w:color="auto" w:fill="FFFFFF"/>
        <w:ind w:left="60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there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more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curse,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but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Lamb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it,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Him.</w:t>
      </w:r>
    </w:p>
    <w:p w:rsidR="004854D7" w:rsidRPr="006B54E5" w:rsidRDefault="004854D7" w:rsidP="006B54E5">
      <w:pPr>
        <w:shd w:val="clear" w:color="auto" w:fill="FFFFFF"/>
        <w:ind w:left="60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They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face,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name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their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foreheads.</w:t>
      </w:r>
    </w:p>
    <w:p w:rsidR="004854D7" w:rsidRPr="006B54E5" w:rsidRDefault="004854D7" w:rsidP="006B54E5">
      <w:pPr>
        <w:shd w:val="clear" w:color="auto" w:fill="FFFFFF"/>
        <w:ind w:left="600"/>
        <w:rPr>
          <w:rFonts w:eastAsia="Times New Roman"/>
          <w:color w:val="222222"/>
        </w:rPr>
      </w:pPr>
    </w:p>
    <w:p w:rsidR="006B54E5" w:rsidRPr="006B54E5" w:rsidRDefault="006B54E5" w:rsidP="006B54E5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There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night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there: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lamp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light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sun,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Lord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gives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them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light.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reign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forever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ever.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0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21:1-2</w:t>
        </w:r>
      </w:hyperlink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hyperlink r:id="rId11" w:history="1">
        <w:r w:rsidRPr="006B54E5">
          <w:rPr>
            <w:rFonts w:eastAsia="Times New Roman"/>
            <w:color w:val="0062B5"/>
            <w:u w:val="single"/>
          </w:rPr>
          <w:t>5-6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12" w:history="1">
        <w:r w:rsidRPr="006B54E5">
          <w:rPr>
            <w:rFonts w:eastAsia="Times New Roman"/>
            <w:color w:val="0062B5"/>
            <w:u w:val="single"/>
          </w:rPr>
          <w:t>22:1-5</w:t>
        </w:r>
      </w:hyperlink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[5a-6a]).</w:t>
      </w:r>
    </w:p>
    <w:p w:rsidR="004854D7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Revelation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twenty-one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3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</w:t>
        </w:r>
      </w:hyperlink>
      <w:r w:rsidRPr="006B54E5">
        <w:rPr>
          <w:rFonts w:eastAsia="Times New Roman"/>
          <w:color w:val="222222"/>
        </w:rPr>
        <w:t>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moves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six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verses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story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conditions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beginning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conditions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existence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continue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endless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eternity.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itself,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manner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closes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six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4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21:6a</w:t>
        </w:r>
      </w:hyperlink>
      <w:r w:rsidRPr="006B54E5">
        <w:rPr>
          <w:rFonts w:eastAsia="Times New Roman"/>
          <w:color w:val="222222"/>
        </w:rPr>
        <w:t>).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color w:val="222222"/>
        </w:rPr>
        <w:lastRenderedPageBreak/>
        <w:t>Note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It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lit.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done,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completed,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pass’]”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5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21:6a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translation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verb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perfect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tense,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indicating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brought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completion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time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past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exist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during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present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time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finished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state.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This,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example,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verb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tense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finished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Calvary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hyperlink r:id="rId16" w:history="1">
        <w:r w:rsidRPr="006B54E5">
          <w:rPr>
            <w:rFonts w:eastAsia="Times New Roman"/>
            <w:color w:val="0062B5"/>
            <w:u w:val="single"/>
          </w:rPr>
          <w:t>John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19:30</w:t>
        </w:r>
      </w:hyperlink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(“</w:t>
      </w:r>
      <w:r w:rsidRPr="006B54E5">
        <w:rPr>
          <w:rFonts w:eastAsia="Times New Roman"/>
          <w:i/>
          <w:iCs/>
          <w:color w:val="222222"/>
        </w:rPr>
        <w:t>It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finished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lit.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finished’]”),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divinely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finished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salvation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hyperlink r:id="rId17" w:history="1">
        <w:r w:rsidRPr="006B54E5">
          <w:rPr>
            <w:rFonts w:eastAsia="Times New Roman"/>
            <w:color w:val="0062B5"/>
            <w:u w:val="single"/>
          </w:rPr>
          <w:t>Ephesians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2:8</w:t>
        </w:r>
      </w:hyperlink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(“</w:t>
      </w:r>
      <w:r w:rsidRPr="006B54E5">
        <w:rPr>
          <w:rFonts w:eastAsia="Times New Roman"/>
          <w:i/>
          <w:iCs/>
          <w:color w:val="222222"/>
        </w:rPr>
        <w:t>For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grace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you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have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saved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through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faith</w:t>
      </w:r>
      <w:r w:rsidRPr="006B54E5">
        <w:rPr>
          <w:rFonts w:eastAsia="Times New Roman"/>
          <w:color w:val="222222"/>
        </w:rPr>
        <w:t>”).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perfect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tense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usage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respect,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nothing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either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added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taken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away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from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that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which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exists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finished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state</w:t>
      </w:r>
      <w:r w:rsidRPr="006B54E5">
        <w:rPr>
          <w:rFonts w:eastAsia="Times New Roman"/>
          <w:color w:val="222222"/>
        </w:rPr>
        <w:t>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consummation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7,000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years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have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brought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pass</w:t>
      </w:r>
      <w:r w:rsidRPr="006B54E5">
        <w:rPr>
          <w:rFonts w:eastAsia="Times New Roman"/>
          <w:color w:val="222222"/>
        </w:rPr>
        <w:t>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redemptive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6,000-year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past;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Son’s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1,000-year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past;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Son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have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delivered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up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Father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lit.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things’]”</w:t>
      </w:r>
      <w:r w:rsidR="00146848">
        <w:rPr>
          <w:rFonts w:eastAsia="Times New Roman"/>
          <w:color w:val="222222"/>
        </w:rPr>
        <w:t xml:space="preserve"> </w:t>
      </w:r>
      <w:hyperlink r:id="rId18" w:history="1">
        <w:r w:rsidRPr="006B54E5">
          <w:rPr>
            <w:rFonts w:eastAsia="Times New Roman"/>
            <w:color w:val="0062B5"/>
            <w:u w:val="single"/>
          </w:rPr>
          <w:t>1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Corinthians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15:24-28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manner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conditions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hyperlink r:id="rId19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21:1-5</w:t>
        </w:r>
      </w:hyperlink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immediately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before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announcement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0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21:6a</w:t>
        </w:r>
      </w:hyperlink>
      <w:r w:rsidRPr="006B54E5">
        <w:rPr>
          <w:rFonts w:eastAsia="Times New Roman"/>
          <w:color w:val="222222"/>
        </w:rPr>
        <w:t>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which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these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conditions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exist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throughout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endless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ages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follow</w:t>
      </w:r>
      <w:r w:rsidRPr="006B54E5">
        <w:rPr>
          <w:rFonts w:eastAsia="Times New Roman"/>
          <w:color w:val="222222"/>
        </w:rPr>
        <w:t>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Then,</w:t>
      </w:r>
      <w:r w:rsidR="00146848">
        <w:rPr>
          <w:rFonts w:eastAsia="Times New Roman"/>
          <w:color w:val="222222"/>
        </w:rPr>
        <w:t xml:space="preserve"> </w:t>
      </w:r>
      <w:hyperlink r:id="rId21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21:9-22:5</w:t>
        </w:r>
      </w:hyperlink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parallel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scene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another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vantage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point,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numerous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details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added</w:t>
      </w:r>
      <w:r w:rsidRPr="006B54E5">
        <w:rPr>
          <w:rFonts w:eastAsia="Times New Roman"/>
          <w:color w:val="222222"/>
        </w:rPr>
        <w:t>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rather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statement,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It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[’It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pass’],”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parallel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2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21:6a</w:t>
        </w:r>
      </w:hyperlink>
      <w:r w:rsidRPr="006B54E5">
        <w:rPr>
          <w:rFonts w:eastAsia="Times New Roman"/>
          <w:color w:val="222222"/>
        </w:rPr>
        <w:t>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statement,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reign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forever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ever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lit.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respect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ages’]”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3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22:5b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parallel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together,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redeemed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reign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throughout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endless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ages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eternity,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conditions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that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have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brought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pass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parallel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4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21:1-6a</w:t>
        </w:r>
      </w:hyperlink>
      <w:r w:rsidRPr="006B54E5">
        <w:rPr>
          <w:rFonts w:eastAsia="Times New Roman"/>
          <w:color w:val="222222"/>
        </w:rPr>
        <w:t>).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Jerusalem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extensively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described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5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21:9-22:5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description,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forefront,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leaves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said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healing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nations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6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22:2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information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healing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Gentile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nations)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between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statements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Lamb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7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22:1</w:t>
        </w:r>
      </w:hyperlink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hyperlink r:id="rId28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Regality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throughout</w:t>
      </w:r>
      <w:r w:rsidRPr="006B54E5">
        <w:rPr>
          <w:rFonts w:eastAsia="Times New Roman"/>
          <w:color w:val="222222"/>
        </w:rPr>
        <w:t>.</w:t>
      </w:r>
    </w:p>
    <w:p w:rsidR="004854D7" w:rsidRDefault="004854D7" w:rsidP="004854D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6B54E5" w:rsidRPr="006B54E5" w:rsidRDefault="006B54E5" w:rsidP="004854D7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" w:name="The_Tree_of_Life"/>
      <w:bookmarkEnd w:id="1"/>
      <w:r w:rsidRPr="006B54E5">
        <w:rPr>
          <w:rFonts w:eastAsia="Times New Roman"/>
          <w:b/>
          <w:bCs/>
          <w:color w:val="222222"/>
        </w:rPr>
        <w:t>The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Tree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of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Life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mentioned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nine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books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Genesis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9" w:history="1">
        <w:r w:rsidRPr="006B54E5">
          <w:rPr>
            <w:rFonts w:eastAsia="Times New Roman"/>
            <w:color w:val="0062B5"/>
            <w:u w:val="single"/>
          </w:rPr>
          <w:t>Genesis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2:9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30" w:history="1">
        <w:r w:rsidRPr="006B54E5">
          <w:rPr>
            <w:rFonts w:eastAsia="Times New Roman"/>
            <w:color w:val="0062B5"/>
            <w:u w:val="single"/>
          </w:rPr>
          <w:t>3:22</w:t>
        </w:r>
      </w:hyperlink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hyperlink r:id="rId31" w:history="1">
        <w:r w:rsidRPr="006B54E5">
          <w:rPr>
            <w:rFonts w:eastAsia="Times New Roman"/>
            <w:color w:val="0062B5"/>
            <w:u w:val="single"/>
          </w:rPr>
          <w:t>24</w:t>
        </w:r>
      </w:hyperlink>
      <w:r w:rsidRPr="006B54E5">
        <w:rPr>
          <w:rFonts w:eastAsia="Times New Roman"/>
          <w:color w:val="222222"/>
        </w:rPr>
        <w:t>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Proverbs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32" w:history="1">
        <w:r w:rsidRPr="006B54E5">
          <w:rPr>
            <w:rFonts w:eastAsia="Times New Roman"/>
            <w:color w:val="0062B5"/>
            <w:u w:val="single"/>
          </w:rPr>
          <w:t>Proverbs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3:18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33" w:history="1">
        <w:r w:rsidRPr="006B54E5">
          <w:rPr>
            <w:rFonts w:eastAsia="Times New Roman"/>
            <w:color w:val="0062B5"/>
            <w:u w:val="single"/>
          </w:rPr>
          <w:t>11:30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34" w:history="1">
        <w:r w:rsidRPr="006B54E5">
          <w:rPr>
            <w:rFonts w:eastAsia="Times New Roman"/>
            <w:color w:val="0062B5"/>
            <w:u w:val="single"/>
          </w:rPr>
          <w:t>13:12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35" w:history="1">
        <w:r w:rsidRPr="006B54E5">
          <w:rPr>
            <w:rFonts w:eastAsia="Times New Roman"/>
            <w:color w:val="0062B5"/>
            <w:u w:val="single"/>
          </w:rPr>
          <w:t>15:4</w:t>
        </w:r>
      </w:hyperlink>
      <w:r w:rsidRPr="006B54E5">
        <w:rPr>
          <w:rFonts w:eastAsia="Times New Roman"/>
          <w:color w:val="222222"/>
        </w:rPr>
        <w:t>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twice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book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36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2:7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37" w:history="1">
        <w:r w:rsidRPr="006B54E5">
          <w:rPr>
            <w:rFonts w:eastAsia="Times New Roman"/>
            <w:color w:val="0062B5"/>
            <w:u w:val="single"/>
          </w:rPr>
          <w:t>22:2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original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purpose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Genesis),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realized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yet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book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Revelation)?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numerous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garden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Eden.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commanded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exception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knowledge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evil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38" w:history="1">
        <w:r w:rsidRPr="006B54E5">
          <w:rPr>
            <w:rFonts w:eastAsia="Times New Roman"/>
            <w:color w:val="0062B5"/>
            <w:u w:val="single"/>
          </w:rPr>
          <w:t>Genesis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2:9</w:t>
        </w:r>
      </w:hyperlink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hyperlink r:id="rId39" w:history="1">
        <w:r w:rsidRPr="006B54E5">
          <w:rPr>
            <w:rFonts w:eastAsia="Times New Roman"/>
            <w:color w:val="0062B5"/>
            <w:u w:val="single"/>
          </w:rPr>
          <w:t>16-17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created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specific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purpose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assuming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rulership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over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earth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fruit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singled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specific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provision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exercised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evident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connection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between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partaking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appearance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beginning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absence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entire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period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(aside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referenced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Proverbs),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reappearance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book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lastRenderedPageBreak/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back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 w:rsidR="00146848">
        <w:rPr>
          <w:rFonts w:eastAsia="Times New Roman"/>
          <w:color w:val="222222"/>
        </w:rPr>
        <w:t xml:space="preserve"> </w:t>
      </w:r>
      <w:hyperlink r:id="rId40" w:history="1">
        <w:r w:rsidRPr="006B54E5">
          <w:rPr>
            <w:rFonts w:eastAsia="Times New Roman"/>
            <w:color w:val="0062B5"/>
            <w:u w:val="single"/>
          </w:rPr>
          <w:t>Genesis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1:26-28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41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2:26-27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period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barred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eating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began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fall,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disqualification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period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issues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again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himself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Adam,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fall,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driven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garden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partaking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permitted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fallen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condition,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occurred,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fallen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realized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fruit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provide.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Thus,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remove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garden,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also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east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garden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Eden”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“cherubim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flaming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sword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which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turned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every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way,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guard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fallen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reentering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garden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partaking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tree]”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42" w:history="1">
        <w:r w:rsidRPr="006B54E5">
          <w:rPr>
            <w:rFonts w:eastAsia="Times New Roman"/>
            <w:color w:val="0062B5"/>
            <w:u w:val="single"/>
          </w:rPr>
          <w:t>Genesis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3:22-24</w:t>
        </w:r>
      </w:hyperlink>
      <w:r w:rsidRPr="006B54E5">
        <w:rPr>
          <w:rFonts w:eastAsia="Times New Roman"/>
          <w:color w:val="222222"/>
        </w:rPr>
        <w:t>).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Studying</w:t>
      </w:r>
      <w:r w:rsidR="00146848">
        <w:rPr>
          <w:rFonts w:eastAsia="Times New Roman"/>
          <w:color w:val="222222"/>
        </w:rPr>
        <w:t xml:space="preserve"> </w:t>
      </w:r>
      <w:hyperlink r:id="rId43" w:history="1">
        <w:r w:rsidRPr="006B54E5">
          <w:rPr>
            <w:rFonts w:eastAsia="Times New Roman"/>
            <w:color w:val="0062B5"/>
            <w:u w:val="single"/>
          </w:rPr>
          <w:t>Genesis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3:22-24</w:t>
        </w:r>
      </w:hyperlink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apart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context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lead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believe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purpose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beginning,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Genesis,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perpetuity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unfallen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However,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“Death”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picture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until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after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44" w:history="1">
        <w:r w:rsidRPr="006B54E5">
          <w:rPr>
            <w:rFonts w:eastAsia="Times New Roman"/>
            <w:color w:val="0062B5"/>
            <w:u w:val="single"/>
          </w:rPr>
          <w:t>Genesis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2:15-17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45" w:history="1">
        <w:r w:rsidRPr="006B54E5">
          <w:rPr>
            <w:rFonts w:eastAsia="Times New Roman"/>
            <w:color w:val="0062B5"/>
            <w:u w:val="single"/>
          </w:rPr>
          <w:t>3:6ff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cf.</w:t>
      </w:r>
      <w:r w:rsidR="00146848">
        <w:rPr>
          <w:rFonts w:eastAsia="Times New Roman"/>
          <w:color w:val="222222"/>
        </w:rPr>
        <w:t xml:space="preserve"> </w:t>
      </w:r>
      <w:hyperlink r:id="rId46" w:history="1">
        <w:r w:rsidRPr="006B54E5">
          <w:rPr>
            <w:rFonts w:eastAsia="Times New Roman"/>
            <w:color w:val="0062B5"/>
            <w:u w:val="single"/>
          </w:rPr>
          <w:t>Romans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6:23</w:t>
        </w:r>
      </w:hyperlink>
      <w:r w:rsidRPr="006B54E5">
        <w:rPr>
          <w:rFonts w:eastAsia="Times New Roman"/>
          <w:color w:val="222222"/>
        </w:rPr>
        <w:t>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barred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Adam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lived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undying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state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prior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continued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antithetical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dying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sin;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given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un-fallen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perpetuity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preventing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possibly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correct.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possibly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correct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anything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providing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physical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(keeping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alive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physically)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fall.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produce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only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according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its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kind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47" w:history="1">
        <w:r w:rsidRPr="006B54E5">
          <w:rPr>
            <w:rFonts w:eastAsia="Times New Roman"/>
            <w:color w:val="0062B5"/>
            <w:u w:val="single"/>
          </w:rPr>
          <w:t>Genesis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1:11-12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respect,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fruit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from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simply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could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have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produced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result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before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man’s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another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following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man’s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fall</w:t>
      </w:r>
      <w:r w:rsidRPr="006B54E5">
        <w:rPr>
          <w:rFonts w:eastAsia="Times New Roman"/>
          <w:color w:val="222222"/>
        </w:rPr>
        <w:t>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hyperlink r:id="rId48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2:7</w:t>
        </w:r>
      </w:hyperlink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partaking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among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already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possessing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eternal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</w:t>
      </w:r>
      <w:r w:rsidRPr="006B54E5">
        <w:rPr>
          <w:rFonts w:eastAsia="Times New Roman"/>
          <w:color w:val="222222"/>
        </w:rPr>
        <w:t>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Consequently,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nothing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whatsoever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perpetuity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Genesis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account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scene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Genesis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49" w:history="1">
        <w:r w:rsidRPr="006B54E5">
          <w:rPr>
            <w:rFonts w:eastAsia="Times New Roman"/>
            <w:color w:val="0062B5"/>
            <w:u w:val="single"/>
          </w:rPr>
          <w:t>Genesis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50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51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</w:t>
        </w:r>
      </w:hyperlink>
      <w:r w:rsidRPr="006B54E5">
        <w:rPr>
          <w:rFonts w:eastAsia="Times New Roman"/>
          <w:color w:val="222222"/>
        </w:rPr>
        <w:t>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setting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entirely.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reserved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hyperlink r:id="rId52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2:7</w:t>
        </w:r>
      </w:hyperlink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associated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peculiarly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provision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those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rule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reign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co-heirs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</w:t>
      </w:r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Genesis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account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created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rule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reign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possession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unending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fruit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disposal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concerning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regality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connection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would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hold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true</w:t>
      </w:r>
      <w:r w:rsidRPr="006B54E5">
        <w:rPr>
          <w:rFonts w:eastAsia="Times New Roman"/>
          <w:color w:val="222222"/>
        </w:rPr>
        <w:t>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Thus,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fallen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longer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position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rule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allowed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fruit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“life”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regality</w:t>
      </w:r>
      <w:r w:rsidRPr="006B54E5">
        <w:rPr>
          <w:rFonts w:eastAsia="Times New Roman"/>
          <w:color w:val="222222"/>
        </w:rPr>
        <w:t>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would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have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hold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true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Revelation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chapter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two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53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</w:t>
        </w:r>
      </w:hyperlink>
      <w:r w:rsidRPr="006B54E5">
        <w:rPr>
          <w:rFonts w:eastAsia="Times New Roman"/>
          <w:color w:val="222222"/>
        </w:rPr>
        <w:t>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drawn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Genesis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chapters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two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54" w:history="1">
        <w:r w:rsidRPr="006B54E5">
          <w:rPr>
            <w:rFonts w:eastAsia="Times New Roman"/>
            <w:color w:val="0062B5"/>
            <w:u w:val="single"/>
          </w:rPr>
          <w:t>Genesis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55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fruit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past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book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Genesis)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future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book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Revelation)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provision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evident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fact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that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must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recognized.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And,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healing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nations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56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22:2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translated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“healing”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therapeia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English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“therapy”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derived.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medical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term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restorative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healing</w:t>
      </w:r>
      <w:r w:rsidRPr="006B54E5">
        <w:rPr>
          <w:rFonts w:eastAsia="Times New Roman"/>
          <w:color w:val="222222"/>
        </w:rPr>
        <w:t>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restore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saved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mankind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original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place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that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occupied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time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creation</w:t>
      </w:r>
      <w:r w:rsidRPr="006B54E5">
        <w:rPr>
          <w:rFonts w:eastAsia="Times New Roman"/>
          <w:color w:val="222222"/>
        </w:rPr>
        <w:t>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consequently,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whole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saved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mankind,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regality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view,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have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access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</w:t>
      </w:r>
      <w:r w:rsidRPr="006B54E5">
        <w:rPr>
          <w:rFonts w:eastAsia="Times New Roman"/>
          <w:color w:val="222222"/>
        </w:rPr>
        <w:t>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Messianic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Era,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available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57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2:7</w:t>
        </w:r>
      </w:hyperlink>
      <w:r w:rsidRPr="006B54E5">
        <w:rPr>
          <w:rFonts w:eastAsia="Times New Roman"/>
          <w:color w:val="222222"/>
        </w:rPr>
        <w:t>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co-heirs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probably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available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certain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well,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occupying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regal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e.g</w:t>
      </w:r>
      <w:r w:rsidRPr="006B54E5">
        <w:rPr>
          <w:rFonts w:eastAsia="Times New Roman"/>
          <w:color w:val="222222"/>
        </w:rPr>
        <w:t>.,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certain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Testament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saints,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Tribulation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martyrs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58" w:history="1">
        <w:r w:rsidRPr="006B54E5">
          <w:rPr>
            <w:rFonts w:eastAsia="Times New Roman"/>
            <w:color w:val="0062B5"/>
            <w:u w:val="single"/>
          </w:rPr>
          <w:t>Matthew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8:11-12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59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20:4-6</w:t>
        </w:r>
      </w:hyperlink>
      <w:r w:rsidRPr="006B54E5">
        <w:rPr>
          <w:rFonts w:eastAsia="Times New Roman"/>
          <w:color w:val="222222"/>
        </w:rPr>
        <w:t>]).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Messianic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Era,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available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something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completely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apparent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evangelistic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endeavors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iron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created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beginning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rule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reign</w:t>
      </w:r>
      <w:r w:rsidRPr="006B54E5">
        <w:rPr>
          <w:rFonts w:eastAsia="Times New Roman"/>
          <w:color w:val="222222"/>
        </w:rPr>
        <w:t>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saved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mankind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back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occupy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beginning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available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saved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mankind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back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available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time).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additional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information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tree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life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respect,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appendix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author’s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book,</w:t>
      </w:r>
      <w:r w:rsidR="00146848">
        <w:rPr>
          <w:rFonts w:eastAsia="Times New Roman"/>
          <w:color w:val="222222"/>
        </w:rPr>
        <w:t xml:space="preserve"> </w:t>
      </w:r>
      <w:hyperlink r:id="rId60" w:history="1">
        <w:r w:rsidRPr="006B54E5">
          <w:rPr>
            <w:rFonts w:eastAsia="Times New Roman"/>
            <w:color w:val="2F5597"/>
            <w:u w:val="single"/>
          </w:rPr>
          <w:t>Bible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One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-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Arlen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Chitwood's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The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Bride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in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Genesis,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Appendix</w:t>
        </w:r>
      </w:hyperlink>
      <w:r w:rsidRPr="006B54E5">
        <w:rPr>
          <w:rFonts w:eastAsia="Times New Roman"/>
          <w:color w:val="222222"/>
        </w:rPr>
        <w:t>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Material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appendix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provided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[preceding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fall]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yet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[following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redemptive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lasting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six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6,000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years]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necessary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wisdom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knowledge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reign.)</w:t>
      </w:r>
    </w:p>
    <w:p w:rsidR="004854D7" w:rsidRDefault="004854D7" w:rsidP="004854D7">
      <w:pPr>
        <w:shd w:val="clear" w:color="auto" w:fill="FFFFFF"/>
        <w:ind w:left="0"/>
        <w:rPr>
          <w:rFonts w:eastAsia="Times New Roman"/>
          <w:color w:val="222222"/>
        </w:rPr>
      </w:pPr>
    </w:p>
    <w:p w:rsidR="004854D7" w:rsidRDefault="004854D7" w:rsidP="004854D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4854D7" w:rsidRPr="006B54E5" w:rsidRDefault="004854D7" w:rsidP="004854D7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2" w:name="Duration_of_Power_and_Authority"/>
      <w:bookmarkEnd w:id="2"/>
      <w:r w:rsidRPr="006B54E5">
        <w:rPr>
          <w:rFonts w:eastAsia="Times New Roman"/>
          <w:b/>
          <w:bCs/>
          <w:color w:val="222222"/>
        </w:rPr>
        <w:t>Duration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of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Power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and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Authority</w:t>
      </w:r>
    </w:p>
    <w:p w:rsidR="00771567" w:rsidRPr="006B54E5" w:rsidRDefault="0077156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Scripture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clearly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teaches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exercise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governmental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authority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co-heirs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1,000-year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course.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Rather,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exercise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authority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does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teach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continue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unchanged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contrary,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teaches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opposite.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co-heirs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quite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different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1)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Christ’s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eternal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separate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entity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Father’s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Conditions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61" w:history="1">
        <w:r w:rsidRPr="006B54E5">
          <w:rPr>
            <w:rFonts w:eastAsia="Times New Roman"/>
            <w:color w:val="0062B5"/>
            <w:u w:val="single"/>
          </w:rPr>
          <w:t>Hebrews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1:8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62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3:21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63" w:history="1">
        <w:r w:rsidRPr="006B54E5">
          <w:rPr>
            <w:rFonts w:eastAsia="Times New Roman"/>
            <w:color w:val="0062B5"/>
            <w:u w:val="single"/>
          </w:rPr>
          <w:t>22:1</w:t>
        </w:r>
      </w:hyperlink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hyperlink r:id="rId64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co-heirs,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own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until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rule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authority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power</w:t>
      </w:r>
      <w:r w:rsidRPr="006B54E5">
        <w:rPr>
          <w:rFonts w:eastAsia="Times New Roman"/>
          <w:color w:val="222222"/>
        </w:rPr>
        <w:t>.”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things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regal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rendered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powerless),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delivered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Father</w:t>
      </w:r>
      <w:r w:rsidRPr="006B54E5">
        <w:rPr>
          <w:rFonts w:eastAsia="Times New Roman"/>
          <w:color w:val="222222"/>
        </w:rPr>
        <w:t>,”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order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‘God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things’]”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65" w:history="1">
        <w:r w:rsidRPr="006B54E5">
          <w:rPr>
            <w:rFonts w:eastAsia="Times New Roman"/>
            <w:color w:val="0062B5"/>
            <w:u w:val="single"/>
          </w:rPr>
          <w:t>1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Corinthians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15:24-28</w:t>
        </w:r>
      </w:hyperlink>
      <w:r w:rsidRPr="006B54E5">
        <w:rPr>
          <w:rFonts w:eastAsia="Times New Roman"/>
          <w:color w:val="222222"/>
        </w:rPr>
        <w:t>).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After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delivered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Father,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after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existence,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after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Jerusalem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down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heaven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from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66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21:2</w:t>
        </w:r>
      </w:hyperlink>
      <w:r w:rsidRPr="006B54E5">
        <w:rPr>
          <w:rFonts w:eastAsia="Times New Roman"/>
          <w:color w:val="222222"/>
        </w:rPr>
        <w:t>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assume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central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Father,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called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Lamb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67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22:1</w:t>
        </w:r>
      </w:hyperlink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hyperlink r:id="rId68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).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2)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Location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lastRenderedPageBreak/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Jerusalem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Lamb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likewise,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Jerusalem;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location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Jerusalem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quite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destroyed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existence.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Jerusalem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Himself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reside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therein,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sitting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alongside.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(millennial)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Lamb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become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central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point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extending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universe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 w:rsidR="00146848">
        <w:rPr>
          <w:rFonts w:eastAsia="Times New Roman"/>
          <w:color w:val="222222"/>
        </w:rPr>
        <w:t xml:space="preserve"> </w:t>
      </w:r>
      <w:hyperlink r:id="rId69" w:history="1">
        <w:r w:rsidRPr="006B54E5">
          <w:rPr>
            <w:rFonts w:eastAsia="Times New Roman"/>
            <w:color w:val="0062B5"/>
            <w:u w:val="single"/>
          </w:rPr>
          <w:t>2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Peter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3:10-13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70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21:1ff</w:t>
        </w:r>
      </w:hyperlink>
      <w:r w:rsidRPr="006B54E5">
        <w:rPr>
          <w:rFonts w:eastAsia="Times New Roman"/>
          <w:color w:val="222222"/>
        </w:rPr>
        <w:t>).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3)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Manner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co-heirs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iron</w:t>
      </w:r>
      <w:r w:rsidRPr="006B54E5">
        <w:rPr>
          <w:rFonts w:eastAsia="Times New Roman"/>
          <w:color w:val="222222"/>
        </w:rPr>
        <w:t>”;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after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fashion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absolute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keep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under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subjection;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unnecessary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Conditions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quite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conditions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more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etc.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71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21:1</w:t>
        </w:r>
      </w:hyperlink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hyperlink r:id="rId72" w:history="1">
        <w:r w:rsidRPr="006B54E5">
          <w:rPr>
            <w:rFonts w:eastAsia="Times New Roman"/>
            <w:color w:val="0062B5"/>
            <w:u w:val="single"/>
          </w:rPr>
          <w:t>3-4</w:t>
        </w:r>
      </w:hyperlink>
      <w:r w:rsidRPr="006B54E5">
        <w:rPr>
          <w:rFonts w:eastAsia="Times New Roman"/>
          <w:color w:val="222222"/>
        </w:rPr>
        <w:t>);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allow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numerous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changes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manner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administration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governmental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affairs.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Satan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bound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abyss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conclusion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loosed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little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while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[‘short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time’]”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73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20:3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rebellion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evident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among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necessitating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iron</w:t>
      </w:r>
      <w:r w:rsidRPr="006B54E5">
        <w:rPr>
          <w:rFonts w:eastAsia="Times New Roman"/>
          <w:color w:val="222222"/>
        </w:rPr>
        <w:t>,”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rebel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Satan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under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banner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against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Jewish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people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final,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vain,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climactic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thrust.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entire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speedily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from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heaven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74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20:7-9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cf.</w:t>
      </w:r>
      <w:r w:rsidR="00146848">
        <w:rPr>
          <w:rFonts w:eastAsia="Times New Roman"/>
          <w:color w:val="222222"/>
        </w:rPr>
        <w:t xml:space="preserve"> </w:t>
      </w:r>
      <w:hyperlink r:id="rId75" w:history="1">
        <w:r w:rsidRPr="006B54E5">
          <w:rPr>
            <w:rFonts w:eastAsia="Times New Roman"/>
            <w:color w:val="0062B5"/>
            <w:u w:val="single"/>
          </w:rPr>
          <w:t>Ezekiel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28:18-19</w:t>
        </w:r>
      </w:hyperlink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[18b]).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Satan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lake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unsaved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well,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lake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major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changes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76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20:10-15</w:t>
        </w:r>
      </w:hyperlink>
      <w:r w:rsidRPr="006B54E5">
        <w:rPr>
          <w:rFonts w:eastAsia="Times New Roman"/>
          <w:color w:val="222222"/>
        </w:rPr>
        <w:t>).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delivered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Father,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existence,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existence,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Jerusalem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descend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become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Lamb</w:t>
      </w:r>
      <w:r w:rsidRPr="006B54E5">
        <w:rPr>
          <w:rFonts w:eastAsia="Times New Roman"/>
          <w:color w:val="222222"/>
        </w:rPr>
        <w:t>.”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dwell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Himself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dwelling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midst.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(God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entire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universe.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Provinces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universe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governed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appointed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[angels]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apparently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exercise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delegated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authority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provinces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e.g.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Satan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appointed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provincial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ruler)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angels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 w:rsidR="00146848">
        <w:rPr>
          <w:rFonts w:eastAsia="Times New Roman"/>
          <w:color w:val="222222"/>
        </w:rPr>
        <w:t xml:space="preserve"> </w:t>
      </w:r>
      <w:hyperlink r:id="rId77" w:history="1">
        <w:r w:rsidRPr="006B54E5">
          <w:rPr>
            <w:rFonts w:eastAsia="Times New Roman"/>
            <w:color w:val="0062B5"/>
            <w:u w:val="single"/>
          </w:rPr>
          <w:t>Daniel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10:13-20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78" w:history="1">
        <w:r w:rsidRPr="006B54E5">
          <w:rPr>
            <w:rFonts w:eastAsia="Times New Roman"/>
            <w:color w:val="0062B5"/>
            <w:u w:val="single"/>
          </w:rPr>
          <w:t>Ephesians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2:2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79" w:history="1">
        <w:r w:rsidRPr="006B54E5">
          <w:rPr>
            <w:rFonts w:eastAsia="Times New Roman"/>
            <w:color w:val="0062B5"/>
            <w:u w:val="single"/>
          </w:rPr>
          <w:t>3:10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80" w:history="1">
        <w:r w:rsidRPr="006B54E5">
          <w:rPr>
            <w:rFonts w:eastAsia="Times New Roman"/>
            <w:color w:val="0062B5"/>
            <w:u w:val="single"/>
          </w:rPr>
          <w:t>6:11-12</w:t>
        </w:r>
      </w:hyperlink>
      <w:r w:rsidRPr="006B54E5">
        <w:rPr>
          <w:rFonts w:eastAsia="Times New Roman"/>
          <w:color w:val="222222"/>
        </w:rPr>
        <w:t>)],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structured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evidently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provinces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angels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elsewhere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universe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i.e.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provinces].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manner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heavens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rule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[beginning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supreme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all].</w:t>
      </w:r>
    </w:p>
    <w:p w:rsidR="004854D7" w:rsidRPr="006B54E5" w:rsidRDefault="004854D7" w:rsidP="006B54E5">
      <w:pPr>
        <w:shd w:val="clear" w:color="auto" w:fill="FFFFFF"/>
        <w:ind w:left="60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Messianic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Era,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co-heirs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exercise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delegated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authority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sphere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Satan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angels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typology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Saul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David,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foreshadowing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Satan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Christ: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ref.</w:t>
      </w:r>
      <w:r w:rsidR="00146848">
        <w:rPr>
          <w:rFonts w:eastAsia="Times New Roman"/>
          <w:color w:val="222222"/>
        </w:rPr>
        <w:t xml:space="preserve"> </w:t>
      </w:r>
      <w:hyperlink r:id="rId81" w:history="1">
        <w:r w:rsidRPr="006B54E5">
          <w:rPr>
            <w:rFonts w:eastAsia="Times New Roman"/>
            <w:color w:val="2F5597"/>
            <w:u w:val="single"/>
          </w:rPr>
          <w:t>Bible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One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-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Arlen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Chitwood's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The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Time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of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the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End,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Ch.</w:t>
        </w:r>
        <w:r w:rsidR="00146848"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31</w:t>
        </w:r>
      </w:hyperlink>
      <w:r w:rsidRPr="006B54E5">
        <w:rPr>
          <w:rFonts w:eastAsia="Times New Roman"/>
          <w:color w:val="222222"/>
        </w:rPr>
        <w:t>].</w:t>
      </w:r>
    </w:p>
    <w:p w:rsidR="004854D7" w:rsidRPr="006B54E5" w:rsidRDefault="004854D7" w:rsidP="006B54E5">
      <w:pPr>
        <w:shd w:val="clear" w:color="auto" w:fill="FFFFFF"/>
        <w:ind w:left="60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lastRenderedPageBreak/>
        <w:t>Then,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place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heavens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from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whence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universal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rule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emanate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located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entire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universe,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dwelling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located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entire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universe].)</w:t>
      </w:r>
    </w:p>
    <w:p w:rsidR="004854D7" w:rsidRDefault="004854D7" w:rsidP="004854D7">
      <w:pPr>
        <w:shd w:val="clear" w:color="auto" w:fill="FFFFFF"/>
        <w:ind w:left="0"/>
        <w:rPr>
          <w:rFonts w:eastAsia="Times New Roman"/>
          <w:color w:val="222222"/>
        </w:rPr>
      </w:pPr>
    </w:p>
    <w:p w:rsidR="004854D7" w:rsidRDefault="004854D7" w:rsidP="004854D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4854D7" w:rsidRPr="006B54E5" w:rsidRDefault="004854D7" w:rsidP="004854D7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3" w:name="Crowns,_Rewards_—_Millennial_or_Eternal"/>
      <w:bookmarkEnd w:id="3"/>
      <w:r w:rsidRPr="006B54E5">
        <w:rPr>
          <w:rFonts w:eastAsia="Times New Roman"/>
          <w:b/>
          <w:bCs/>
          <w:color w:val="222222"/>
        </w:rPr>
        <w:t>Crowns,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Rewards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—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Millennial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or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Eternal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Promises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crowns,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rewards,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etc.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realized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rather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conditions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surrounding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proffered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comments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differences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beyond.</w:t>
      </w:r>
    </w:p>
    <w:p w:rsidR="004854D7" w:rsidRPr="006B54E5" w:rsidRDefault="004854D7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(Note,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example,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overcomer’s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82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83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several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promises.</w:t>
      </w:r>
    </w:p>
    <w:p w:rsidR="004854D7" w:rsidRPr="006B54E5" w:rsidRDefault="004854D7" w:rsidP="006B54E5">
      <w:pPr>
        <w:shd w:val="clear" w:color="auto" w:fill="FFFFFF"/>
        <w:ind w:left="60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overcomer’s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church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Smyrna,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evident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84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2:11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cf.</w:t>
      </w:r>
      <w:r w:rsidR="00146848">
        <w:rPr>
          <w:rFonts w:eastAsia="Times New Roman"/>
          <w:color w:val="222222"/>
        </w:rPr>
        <w:t xml:space="preserve"> </w:t>
      </w:r>
      <w:hyperlink r:id="rId85" w:history="1">
        <w:r w:rsidRPr="006B54E5">
          <w:rPr>
            <w:rFonts w:eastAsia="Times New Roman"/>
            <w:color w:val="0062B5"/>
            <w:u w:val="single"/>
          </w:rPr>
          <w:t>Romans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8:13</w:t>
        </w:r>
      </w:hyperlink>
      <w:r w:rsidRPr="006B54E5">
        <w:rPr>
          <w:rFonts w:eastAsia="Times New Roman"/>
          <w:color w:val="222222"/>
        </w:rPr>
        <w:t>],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86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21:1</w:t>
        </w:r>
      </w:hyperlink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hyperlink r:id="rId87" w:history="1">
        <w:r w:rsidRPr="006B54E5">
          <w:rPr>
            <w:rFonts w:eastAsia="Times New Roman"/>
            <w:color w:val="0062B5"/>
            <w:u w:val="single"/>
          </w:rPr>
          <w:t>4</w:t>
        </w:r>
      </w:hyperlink>
      <w:r w:rsidRPr="006B54E5">
        <w:rPr>
          <w:rFonts w:eastAsia="Times New Roman"/>
          <w:color w:val="222222"/>
        </w:rPr>
        <w:t>].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overcomer’s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church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Thyatira,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iron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88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2:26-27</w:t>
        </w:r>
      </w:hyperlink>
      <w:r w:rsidRPr="006B54E5">
        <w:rPr>
          <w:rFonts w:eastAsia="Times New Roman"/>
          <w:color w:val="222222"/>
        </w:rPr>
        <w:t>].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scene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dispensation;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scene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overcomer’s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church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Laodicea,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own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today;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separate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Father’s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cf.</w:t>
      </w:r>
      <w:r w:rsidR="00146848">
        <w:rPr>
          <w:rFonts w:eastAsia="Times New Roman"/>
          <w:color w:val="222222"/>
        </w:rPr>
        <w:t xml:space="preserve"> </w:t>
      </w:r>
      <w:hyperlink r:id="rId89" w:history="1">
        <w:r w:rsidRPr="006B54E5">
          <w:rPr>
            <w:rFonts w:eastAsia="Times New Roman"/>
            <w:color w:val="0062B5"/>
            <w:u w:val="single"/>
          </w:rPr>
          <w:t>Hebrews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1:13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90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3:21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91" w:history="1">
        <w:r w:rsidRPr="006B54E5">
          <w:rPr>
            <w:rFonts w:eastAsia="Times New Roman"/>
            <w:color w:val="0062B5"/>
            <w:u w:val="single"/>
          </w:rPr>
          <w:t>22:1</w:t>
        </w:r>
      </w:hyperlink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hyperlink r:id="rId92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].</w:t>
      </w:r>
    </w:p>
    <w:p w:rsidR="004854D7" w:rsidRPr="006B54E5" w:rsidRDefault="004854D7" w:rsidP="006B54E5">
      <w:pPr>
        <w:shd w:val="clear" w:color="auto" w:fill="FFFFFF"/>
        <w:ind w:left="60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Thus,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overcomer’s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93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94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]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realized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Messianic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Era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alone</w:t>
      </w:r>
      <w:r w:rsidRPr="006B54E5">
        <w:rPr>
          <w:rFonts w:eastAsia="Times New Roman"/>
          <w:color w:val="222222"/>
        </w:rPr>
        <w:t>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nothing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Millennium.)</w:t>
      </w:r>
    </w:p>
    <w:p w:rsidR="008A6240" w:rsidRPr="006B54E5" w:rsidRDefault="008A6240" w:rsidP="008A6240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This,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however,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teach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conclusion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outside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scope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overcomer’s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quite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different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revelation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itself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“time”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7,000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years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time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creation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Messianic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little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revealed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occurred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before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creation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Adam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little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revealed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continue,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length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continuing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specifically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forever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ever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[Greek: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eis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tous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aionas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aionon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respect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ages,’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i.e.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‘throughout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endless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ages’]”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95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11:15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96" w:history="1">
        <w:r w:rsidRPr="006B54E5">
          <w:rPr>
            <w:rFonts w:eastAsia="Times New Roman"/>
            <w:color w:val="0062B5"/>
            <w:u w:val="single"/>
          </w:rPr>
          <w:t>22:3-5</w:t>
        </w:r>
      </w:hyperlink>
      <w:r w:rsidRPr="006B54E5">
        <w:rPr>
          <w:rFonts w:eastAsia="Times New Roman"/>
          <w:color w:val="222222"/>
        </w:rPr>
        <w:t>).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activity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continuing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revealed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words,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enough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information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several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observations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made: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1)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itself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longer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limited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Rather,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earth),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into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universe</w:t>
      </w:r>
      <w:r w:rsidRPr="006B54E5">
        <w:rPr>
          <w:rFonts w:eastAsia="Times New Roman"/>
          <w:color w:val="222222"/>
        </w:rPr>
        <w:t>.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administration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authority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universe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—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Lamb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97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22:1</w:t>
        </w:r>
      </w:hyperlink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hyperlink r:id="rId98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);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Christians’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continuing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[“</w:t>
      </w:r>
      <w:r w:rsidRPr="006B54E5">
        <w:rPr>
          <w:rFonts w:eastAsia="Times New Roman"/>
          <w:i/>
          <w:iCs/>
          <w:color w:val="222222"/>
        </w:rPr>
        <w:t>they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reign</w:t>
      </w:r>
      <w:r w:rsidRPr="006B54E5">
        <w:rPr>
          <w:rFonts w:eastAsia="Times New Roman"/>
          <w:color w:val="222222"/>
        </w:rPr>
        <w:t>”]”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99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22:5</w:t>
        </w:r>
      </w:hyperlink>
      <w:r w:rsidRPr="006B54E5">
        <w:rPr>
          <w:rFonts w:eastAsia="Times New Roman"/>
          <w:color w:val="222222"/>
        </w:rPr>
        <w:t>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like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nature,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longer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emanate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Christ’s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lastRenderedPageBreak/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Lamb</w:t>
      </w:r>
      <w:r w:rsidRPr="006B54E5">
        <w:rPr>
          <w:rFonts w:eastAsia="Times New Roman"/>
          <w:color w:val="222222"/>
        </w:rPr>
        <w:t>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respect,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co-heirs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extended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over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worlds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throughout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universe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2)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Blessings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any,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rewards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realized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carry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beyond?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question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unanswerable.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wiping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tears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conclusion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fact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overcomer’s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clearly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indicate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distinctions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between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non-overcoming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point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rewards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exercised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bearing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occupy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carrying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beyond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grounds.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simply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does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matter.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saved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mankind)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occupy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universal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unrevealed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clear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universal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since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emanate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Lamb</w:t>
      </w:r>
      <w:r w:rsidRPr="006B54E5">
        <w:rPr>
          <w:rFonts w:eastAsia="Times New Roman"/>
          <w:color w:val="222222"/>
        </w:rPr>
        <w:t>.”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Possibly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include,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under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provincial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(angels)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multiplied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billions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provinces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scattered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multiplied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billions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galaxies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comprising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physical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universe.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again,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we’re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told.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something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yet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revealed.</w:t>
      </w:r>
    </w:p>
    <w:p w:rsidR="008A6240" w:rsidRPr="006B54E5" w:rsidRDefault="008A6240" w:rsidP="008A6240">
      <w:pPr>
        <w:shd w:val="clear" w:color="auto" w:fill="FFFFFF"/>
        <w:tabs>
          <w:tab w:val="left" w:pos="972"/>
        </w:tabs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6B54E5" w:rsidRPr="006B54E5" w:rsidRDefault="006B54E5" w:rsidP="008A6240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4" w:name="All_Things_New"/>
      <w:bookmarkEnd w:id="4"/>
      <w:r w:rsidRPr="006B54E5">
        <w:rPr>
          <w:rFonts w:eastAsia="Times New Roman"/>
          <w:b/>
          <w:bCs/>
          <w:color w:val="222222"/>
        </w:rPr>
        <w:t>All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Things</w:t>
      </w:r>
      <w:r w:rsidR="00146848"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New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 w:rsidRPr="006B54E5">
        <w:rPr>
          <w:rFonts w:eastAsia="Times New Roman"/>
          <w:color w:val="222222"/>
        </w:rPr>
        <w:t>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envision,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perfection</w:t>
      </w:r>
      <w:r w:rsidRPr="006B54E5">
        <w:rPr>
          <w:rFonts w:eastAsia="Times New Roman"/>
          <w:color w:val="222222"/>
        </w:rPr>
        <w:t>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awaits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first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endless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restoration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things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before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6,000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years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things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made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awaits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7,000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years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 w:rsidR="00146848">
        <w:rPr>
          <w:rFonts w:eastAsia="Times New Roman"/>
          <w:color w:val="222222"/>
        </w:rPr>
        <w:t xml:space="preserve"> </w:t>
      </w:r>
      <w:hyperlink r:id="rId100" w:history="1">
        <w:r w:rsidRPr="006B54E5">
          <w:rPr>
            <w:rFonts w:eastAsia="Times New Roman"/>
            <w:color w:val="0062B5"/>
            <w:u w:val="single"/>
          </w:rPr>
          <w:t>Acts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3:21</w:t>
        </w:r>
      </w:hyperlink>
      <w:r w:rsidRPr="006B54E5">
        <w:rPr>
          <w:rFonts w:eastAsia="Times New Roman"/>
          <w:color w:val="222222"/>
        </w:rPr>
        <w:t>;</w:t>
      </w:r>
      <w:r w:rsidR="00146848">
        <w:rPr>
          <w:rFonts w:eastAsia="Times New Roman"/>
          <w:color w:val="222222"/>
        </w:rPr>
        <w:t xml:space="preserve"> </w:t>
      </w:r>
      <w:hyperlink r:id="rId101" w:history="1">
        <w:r w:rsidRPr="006B54E5">
          <w:rPr>
            <w:rFonts w:eastAsia="Times New Roman"/>
            <w:color w:val="0062B5"/>
            <w:u w:val="single"/>
          </w:rPr>
          <w:t>Revelation</w:t>
        </w:r>
        <w:r w:rsidR="00146848"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21:5</w:t>
        </w:r>
      </w:hyperlink>
      <w:r w:rsidRPr="006B54E5">
        <w:rPr>
          <w:rFonts w:eastAsia="Times New Roman"/>
          <w:color w:val="222222"/>
        </w:rPr>
        <w:t>).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Only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perfect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order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exist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God’s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creation.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(Man’s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Day)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purpose,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Day);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ultimate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goal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realized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acquired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co-heirs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participate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age-long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work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bringing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under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Christ.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Such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work,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iron</w:t>
      </w:r>
      <w:r w:rsidRPr="006B54E5">
        <w:rPr>
          <w:rFonts w:eastAsia="Times New Roman"/>
          <w:color w:val="222222"/>
        </w:rPr>
        <w:t>,”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anticipates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rod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iron</w:t>
      </w:r>
      <w:r w:rsidRPr="006B54E5">
        <w:rPr>
          <w:rFonts w:eastAsia="Times New Roman"/>
          <w:color w:val="222222"/>
        </w:rPr>
        <w:t>”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longer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necessary;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reason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creation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realized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its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fullest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sense</w:t>
      </w:r>
      <w:r w:rsidRPr="006B54E5">
        <w:rPr>
          <w:rFonts w:eastAsia="Times New Roman"/>
          <w:color w:val="222222"/>
        </w:rPr>
        <w:t>.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realize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reason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creation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also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beyond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Dominion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restricted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after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existence.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Man’s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multiplied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billions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galaxies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comprising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universe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itself,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manner,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access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universe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(something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Millennium).</w:t>
      </w:r>
    </w:p>
    <w:p w:rsidR="008A6240" w:rsidRPr="006B54E5" w:rsidRDefault="008A6240" w:rsidP="006B54E5">
      <w:pPr>
        <w:shd w:val="clear" w:color="auto" w:fill="FFFFFF"/>
        <w:ind w:left="0"/>
        <w:rPr>
          <w:rFonts w:eastAsia="Times New Roman"/>
          <w:color w:val="222222"/>
        </w:rPr>
      </w:pPr>
    </w:p>
    <w:p w:rsidR="006B54E5" w:rsidRDefault="006B54E5" w:rsidP="006B54E5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clear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teaching</w:t>
      </w:r>
      <w:r w:rsidR="00146848"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derived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Scriptures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touching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 w:rsidR="00146848"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subject.</w:t>
      </w:r>
    </w:p>
    <w:sectPr w:rsidR="006B54E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E5"/>
    <w:rsid w:val="00146848"/>
    <w:rsid w:val="004854D7"/>
    <w:rsid w:val="006B54E5"/>
    <w:rsid w:val="00771567"/>
    <w:rsid w:val="00774C51"/>
    <w:rsid w:val="008A6240"/>
    <w:rsid w:val="00B51BB6"/>
    <w:rsid w:val="00D676B6"/>
    <w:rsid w:val="00E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E7DF6-C578-4C78-8BC6-39388AA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4E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6B54E5"/>
    <w:rPr>
      <w:i/>
      <w:iCs/>
    </w:rPr>
  </w:style>
  <w:style w:type="character" w:styleId="Strong">
    <w:name w:val="Strong"/>
    <w:basedOn w:val="DefaultParagraphFont"/>
    <w:uiPriority w:val="22"/>
    <w:qFormat/>
    <w:rsid w:val="006B54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54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4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439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6924">
          <w:marLeft w:val="900"/>
          <w:marRight w:val="9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9757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0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3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7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1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0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5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620">
          <w:marLeft w:val="75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23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7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27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89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8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42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3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26340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0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5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43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06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60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36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55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533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2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00235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5590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21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25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05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4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09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76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5262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782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932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4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964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37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73867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83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7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5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563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8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44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26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4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73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066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2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71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Revelation+22.2&amp;t=NKJV" TargetMode="External"/><Relationship Id="rId21" Type="http://schemas.openxmlformats.org/officeDocument/2006/relationships/hyperlink" Target="https://www.blueletterbible.org/search/preSearch.cfm?Criteria=Revelation+21.9-22.5&amp;t=NKJV" TargetMode="External"/><Relationship Id="rId42" Type="http://schemas.openxmlformats.org/officeDocument/2006/relationships/hyperlink" Target="https://www.blueletterbible.org/search/preSearch.cfm?Criteria=Genesis+3.22-24&amp;t=NKJV" TargetMode="External"/><Relationship Id="rId47" Type="http://schemas.openxmlformats.org/officeDocument/2006/relationships/hyperlink" Target="https://www.blueletterbible.org/search/preSearch.cfm?Criteria=Genesis+1.11-12&amp;t=NKJV" TargetMode="External"/><Relationship Id="rId63" Type="http://schemas.openxmlformats.org/officeDocument/2006/relationships/hyperlink" Target="https://www.blueletterbible.org/search/preSearch.cfm?Criteria=Revelation+22.1&amp;t=NKJV" TargetMode="External"/><Relationship Id="rId68" Type="http://schemas.openxmlformats.org/officeDocument/2006/relationships/hyperlink" Target="https://www.blueletterbible.org/search/preSearch.cfm?Criteria=Revelation+22.3&amp;t=NKJV" TargetMode="External"/><Relationship Id="rId84" Type="http://schemas.openxmlformats.org/officeDocument/2006/relationships/hyperlink" Target="https://www.blueletterbible.org/search/preSearch.cfm?Criteria=Revelation+2.11&amp;t=NKJV" TargetMode="External"/><Relationship Id="rId89" Type="http://schemas.openxmlformats.org/officeDocument/2006/relationships/hyperlink" Target="https://www.blueletterbible.org/search/preSearch.cfm?Criteria=Hebrews+1.13&amp;t=NKJV" TargetMode="External"/><Relationship Id="rId7" Type="http://schemas.openxmlformats.org/officeDocument/2006/relationships/hyperlink" Target="https://www.koffeekupkandor.com/gods-word-three.php" TargetMode="External"/><Relationship Id="rId71" Type="http://schemas.openxmlformats.org/officeDocument/2006/relationships/hyperlink" Target="https://www.blueletterbible.org/search/preSearch.cfm?Criteria=Revelation+21.1&amp;t=NKJV" TargetMode="External"/><Relationship Id="rId92" Type="http://schemas.openxmlformats.org/officeDocument/2006/relationships/hyperlink" Target="https://www.blueletterbible.org/search/preSearch.cfm?Criteria=Revelation+22.3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John+19.30&amp;t=NKJV" TargetMode="External"/><Relationship Id="rId29" Type="http://schemas.openxmlformats.org/officeDocument/2006/relationships/hyperlink" Target="https://www.blueletterbible.org/search/preSearch.cfm?Criteria=Genesis+2.9&amp;t=NKJV" TargetMode="External"/><Relationship Id="rId11" Type="http://schemas.openxmlformats.org/officeDocument/2006/relationships/hyperlink" Target="https://www.blueletterbible.org/search/preSearch.cfm?Criteria=Revelation+21.5-6&amp;t=NKJV" TargetMode="External"/><Relationship Id="rId24" Type="http://schemas.openxmlformats.org/officeDocument/2006/relationships/hyperlink" Target="https://www.blueletterbible.org/search/preSearch.cfm?Criteria=Revelation+21.1-6a&amp;t=NKJV" TargetMode="External"/><Relationship Id="rId32" Type="http://schemas.openxmlformats.org/officeDocument/2006/relationships/hyperlink" Target="https://www.blueletterbible.org/search/preSearch.cfm?Criteria=Proverbs+3.18&amp;t=NKJV" TargetMode="External"/><Relationship Id="rId37" Type="http://schemas.openxmlformats.org/officeDocument/2006/relationships/hyperlink" Target="https://www.blueletterbible.org/search/preSearch.cfm?Criteria=Revelation+22.2&amp;t=NKJV" TargetMode="External"/><Relationship Id="rId40" Type="http://schemas.openxmlformats.org/officeDocument/2006/relationships/hyperlink" Target="https://www.blueletterbible.org/search/preSearch.cfm?Criteria=Genesis+1.26-28&amp;t=NKJV" TargetMode="External"/><Relationship Id="rId45" Type="http://schemas.openxmlformats.org/officeDocument/2006/relationships/hyperlink" Target="https://www.blueletterbible.org/search/preSearch.cfm?Criteria=Genesis+3.6ff&amp;t=NKJV" TargetMode="External"/><Relationship Id="rId53" Type="http://schemas.openxmlformats.org/officeDocument/2006/relationships/hyperlink" Target="https://www.blueletterbible.org/search/preSearch.cfm?Criteria=Revelation+2&amp;t=NKJV" TargetMode="External"/><Relationship Id="rId58" Type="http://schemas.openxmlformats.org/officeDocument/2006/relationships/hyperlink" Target="https://www.blueletterbible.org/search/preSearch.cfm?Criteria=Matthew+8.11-12&amp;t=NKJV" TargetMode="External"/><Relationship Id="rId66" Type="http://schemas.openxmlformats.org/officeDocument/2006/relationships/hyperlink" Target="https://www.blueletterbible.org/search/preSearch.cfm?Criteria=Revelation+21.2&amp;t=NKJV" TargetMode="External"/><Relationship Id="rId74" Type="http://schemas.openxmlformats.org/officeDocument/2006/relationships/hyperlink" Target="https://www.blueletterbible.org/search/preSearch.cfm?Criteria=Revelation+20.7-9&amp;t=NKJV" TargetMode="External"/><Relationship Id="rId79" Type="http://schemas.openxmlformats.org/officeDocument/2006/relationships/hyperlink" Target="https://www.blueletterbible.org/search/preSearch.cfm?Criteria=Ephesians+3.10&amp;t=NKJV" TargetMode="External"/><Relationship Id="rId87" Type="http://schemas.openxmlformats.org/officeDocument/2006/relationships/hyperlink" Target="https://www.blueletterbible.org/search/preSearch.cfm?Criteria=Revelation+21.4&amp;t=NKJV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koffeekupkandor.com/gods-word-three.php" TargetMode="External"/><Relationship Id="rId61" Type="http://schemas.openxmlformats.org/officeDocument/2006/relationships/hyperlink" Target="https://www.blueletterbible.org/search/preSearch.cfm?Criteria=Hebrews+1.8&amp;t=NKJV" TargetMode="External"/><Relationship Id="rId82" Type="http://schemas.openxmlformats.org/officeDocument/2006/relationships/hyperlink" Target="https://www.blueletterbible.org/search/preSearch.cfm?Criteria=Revelation+2&amp;t=NKJV" TargetMode="External"/><Relationship Id="rId90" Type="http://schemas.openxmlformats.org/officeDocument/2006/relationships/hyperlink" Target="https://www.blueletterbible.org/search/preSearch.cfm?Criteria=Revelation+3.21&amp;t=NKJV" TargetMode="External"/><Relationship Id="rId95" Type="http://schemas.openxmlformats.org/officeDocument/2006/relationships/hyperlink" Target="https://www.blueletterbible.org/search/preSearch.cfm?Criteria=Revelation+11.15&amp;t=NKJV" TargetMode="External"/><Relationship Id="rId19" Type="http://schemas.openxmlformats.org/officeDocument/2006/relationships/hyperlink" Target="https://www.blueletterbible.org/search/preSearch.cfm?Criteria=Revelation+21.1-5&amp;t=NKJV" TargetMode="External"/><Relationship Id="rId14" Type="http://schemas.openxmlformats.org/officeDocument/2006/relationships/hyperlink" Target="https://www.blueletterbible.org/search/preSearch.cfm?Criteria=Revelation+21.6a&amp;t=NKJV" TargetMode="External"/><Relationship Id="rId22" Type="http://schemas.openxmlformats.org/officeDocument/2006/relationships/hyperlink" Target="https://www.blueletterbible.org/search/preSearch.cfm?Criteria=Revelation+21.6a&amp;t=NKJV" TargetMode="External"/><Relationship Id="rId27" Type="http://schemas.openxmlformats.org/officeDocument/2006/relationships/hyperlink" Target="https://www.blueletterbible.org/search/preSearch.cfm?Criteria=Revelation+22.1&amp;t=NKJV" TargetMode="External"/><Relationship Id="rId30" Type="http://schemas.openxmlformats.org/officeDocument/2006/relationships/hyperlink" Target="https://www.blueletterbible.org/search/preSearch.cfm?Criteria=Genesis+3.22&amp;t=NKJV" TargetMode="External"/><Relationship Id="rId35" Type="http://schemas.openxmlformats.org/officeDocument/2006/relationships/hyperlink" Target="https://www.blueletterbible.org/search/preSearch.cfm?Criteria=Proverbs+15.4&amp;t=NKJV" TargetMode="External"/><Relationship Id="rId43" Type="http://schemas.openxmlformats.org/officeDocument/2006/relationships/hyperlink" Target="https://www.blueletterbible.org/search/preSearch.cfm?Criteria=Genesis+3.22-24&amp;t=NKJV" TargetMode="External"/><Relationship Id="rId48" Type="http://schemas.openxmlformats.org/officeDocument/2006/relationships/hyperlink" Target="https://www.blueletterbible.org/search/preSearch.cfm?Criteria=Revelation+2.7&amp;t=NKJV" TargetMode="External"/><Relationship Id="rId56" Type="http://schemas.openxmlformats.org/officeDocument/2006/relationships/hyperlink" Target="https://www.blueletterbible.org/search/preSearch.cfm?Criteria=Revelation+22.2&amp;t=NKJV" TargetMode="External"/><Relationship Id="rId64" Type="http://schemas.openxmlformats.org/officeDocument/2006/relationships/hyperlink" Target="https://www.blueletterbible.org/search/preSearch.cfm?Criteria=Revelation+22.3&amp;t=NKJV" TargetMode="External"/><Relationship Id="rId69" Type="http://schemas.openxmlformats.org/officeDocument/2006/relationships/hyperlink" Target="https://www.blueletterbible.org/search/preSearch.cfm?Criteria=2Peter+3.10-13&amp;t=NKJV" TargetMode="External"/><Relationship Id="rId77" Type="http://schemas.openxmlformats.org/officeDocument/2006/relationships/hyperlink" Target="https://www.blueletterbible.org/search/preSearch.cfm?Criteria=Daniel+10.13-20&amp;t=NKJV" TargetMode="External"/><Relationship Id="rId100" Type="http://schemas.openxmlformats.org/officeDocument/2006/relationships/hyperlink" Target="https://www.blueletterbible.org/search/preSearch.cfm?Criteria=Acts+3.21&amp;t=NKJV" TargetMode="External"/><Relationship Id="rId8" Type="http://schemas.openxmlformats.org/officeDocument/2006/relationships/hyperlink" Target="https://www.koffeekupkandor.com/gods-word-three.php" TargetMode="External"/><Relationship Id="rId51" Type="http://schemas.openxmlformats.org/officeDocument/2006/relationships/hyperlink" Target="https://www.blueletterbible.org/search/preSearch.cfm?Criteria=Revelation+2&amp;t=NKJV" TargetMode="External"/><Relationship Id="rId72" Type="http://schemas.openxmlformats.org/officeDocument/2006/relationships/hyperlink" Target="https://www.blueletterbible.org/search/preSearch.cfm?Criteria=Revelation+21.3-4&amp;t=NKJV" TargetMode="External"/><Relationship Id="rId80" Type="http://schemas.openxmlformats.org/officeDocument/2006/relationships/hyperlink" Target="https://www.blueletterbible.org/search/preSearch.cfm?Criteria=Ephesians+6.11-12&amp;t=NKJV" TargetMode="External"/><Relationship Id="rId85" Type="http://schemas.openxmlformats.org/officeDocument/2006/relationships/hyperlink" Target="https://www.blueletterbible.org/search/preSearch.cfm?Criteria=Romans+8.13&amp;t=NKJV" TargetMode="External"/><Relationship Id="rId93" Type="http://schemas.openxmlformats.org/officeDocument/2006/relationships/hyperlink" Target="https://www.blueletterbible.org/search/preSearch.cfm?Criteria=Revelation+2&amp;t=NKJV" TargetMode="External"/><Relationship Id="rId98" Type="http://schemas.openxmlformats.org/officeDocument/2006/relationships/hyperlink" Target="https://www.blueletterbible.org/search/preSearch.cfm?Criteria=Revelation+22.3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Revelation+22.1-5&amp;t=NKJV" TargetMode="External"/><Relationship Id="rId17" Type="http://schemas.openxmlformats.org/officeDocument/2006/relationships/hyperlink" Target="https://www.blueletterbible.org/search/preSearch.cfm?Criteria=Ephesians+2.8&amp;t=NKJV" TargetMode="External"/><Relationship Id="rId25" Type="http://schemas.openxmlformats.org/officeDocument/2006/relationships/hyperlink" Target="https://www.blueletterbible.org/search/preSearch.cfm?Criteria=Revelation+21.9-22.5&amp;t=NKJV" TargetMode="External"/><Relationship Id="rId33" Type="http://schemas.openxmlformats.org/officeDocument/2006/relationships/hyperlink" Target="https://www.blueletterbible.org/search/preSearch.cfm?Criteria=Proverbs+11.30&amp;t=NKJV" TargetMode="External"/><Relationship Id="rId38" Type="http://schemas.openxmlformats.org/officeDocument/2006/relationships/hyperlink" Target="https://www.blueletterbible.org/search/preSearch.cfm?Criteria=Genesis+2.9&amp;t=NKJV" TargetMode="External"/><Relationship Id="rId46" Type="http://schemas.openxmlformats.org/officeDocument/2006/relationships/hyperlink" Target="https://www.blueletterbible.org/search/preSearch.cfm?Criteria=Romans+6.23&amp;t=NKJV" TargetMode="External"/><Relationship Id="rId59" Type="http://schemas.openxmlformats.org/officeDocument/2006/relationships/hyperlink" Target="https://www.blueletterbible.org/search/preSearch.cfm?Criteria=Revelation+20.4-6&amp;t=NKJV" TargetMode="External"/><Relationship Id="rId67" Type="http://schemas.openxmlformats.org/officeDocument/2006/relationships/hyperlink" Target="https://www.blueletterbible.org/search/preSearch.cfm?Criteria=Revelation+22.1&amp;t=NKJV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blueletterbible.org/search/preSearch.cfm?Criteria=Revelation+21.6a&amp;t=NKJV" TargetMode="External"/><Relationship Id="rId41" Type="http://schemas.openxmlformats.org/officeDocument/2006/relationships/hyperlink" Target="https://www.blueletterbible.org/search/preSearch.cfm?Criteria=Revelation+2.26-27&amp;t=NKJV" TargetMode="External"/><Relationship Id="rId54" Type="http://schemas.openxmlformats.org/officeDocument/2006/relationships/hyperlink" Target="https://www.blueletterbible.org/search/preSearch.cfm?Criteria=Genesis+2&amp;t=NKJV" TargetMode="External"/><Relationship Id="rId62" Type="http://schemas.openxmlformats.org/officeDocument/2006/relationships/hyperlink" Target="https://www.blueletterbible.org/search/preSearch.cfm?Criteria=Revelation+3.21&amp;t=NKJV" TargetMode="External"/><Relationship Id="rId70" Type="http://schemas.openxmlformats.org/officeDocument/2006/relationships/hyperlink" Target="https://www.blueletterbible.org/search/preSearch.cfm?Criteria=Revelation+21.1ff&amp;t=NKJV" TargetMode="External"/><Relationship Id="rId75" Type="http://schemas.openxmlformats.org/officeDocument/2006/relationships/hyperlink" Target="https://www.blueletterbible.org/search/preSearch.cfm?Criteria=Ezekiel+28.18-19&amp;t=NKJV" TargetMode="External"/><Relationship Id="rId83" Type="http://schemas.openxmlformats.org/officeDocument/2006/relationships/hyperlink" Target="https://www.blueletterbible.org/search/preSearch.cfm?Criteria=Revelation+3&amp;t=NKJV" TargetMode="External"/><Relationship Id="rId88" Type="http://schemas.openxmlformats.org/officeDocument/2006/relationships/hyperlink" Target="https://www.blueletterbible.org/search/preSearch.cfm?Criteria=Revelation+2.26-27&amp;t=NKJV" TargetMode="External"/><Relationship Id="rId91" Type="http://schemas.openxmlformats.org/officeDocument/2006/relationships/hyperlink" Target="https://www.blueletterbible.org/search/preSearch.cfm?Criteria=Revelation+22.1&amp;t=NKJV" TargetMode="External"/><Relationship Id="rId96" Type="http://schemas.openxmlformats.org/officeDocument/2006/relationships/hyperlink" Target="https://www.blueletterbible.org/search/preSearch.cfm?Criteria=Revelation+22.3-5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three.php" TargetMode="External"/><Relationship Id="rId15" Type="http://schemas.openxmlformats.org/officeDocument/2006/relationships/hyperlink" Target="https://www.blueletterbible.org/search/preSearch.cfm?Criteria=Revelation+21.6a&amp;t=NKJV" TargetMode="External"/><Relationship Id="rId23" Type="http://schemas.openxmlformats.org/officeDocument/2006/relationships/hyperlink" Target="https://www.blueletterbible.org/search/preSearch.cfm?Criteria=Revelation+22.5b&amp;t=NKJV" TargetMode="External"/><Relationship Id="rId28" Type="http://schemas.openxmlformats.org/officeDocument/2006/relationships/hyperlink" Target="https://www.blueletterbible.org/search/preSearch.cfm?Criteria=Revelation+22.3&amp;t=NKJV" TargetMode="External"/><Relationship Id="rId36" Type="http://schemas.openxmlformats.org/officeDocument/2006/relationships/hyperlink" Target="https://www.blueletterbible.org/search/preSearch.cfm?Criteria=Revelation+2.7&amp;t=NKJV" TargetMode="External"/><Relationship Id="rId49" Type="http://schemas.openxmlformats.org/officeDocument/2006/relationships/hyperlink" Target="https://www.blueletterbible.org/search/preSearch.cfm?Criteria=Genesis+2&amp;t=NKJV" TargetMode="External"/><Relationship Id="rId57" Type="http://schemas.openxmlformats.org/officeDocument/2006/relationships/hyperlink" Target="https://www.blueletterbible.org/search/preSearch.cfm?Criteria=Revelation+2.7&amp;t=NKJV" TargetMode="External"/><Relationship Id="rId10" Type="http://schemas.openxmlformats.org/officeDocument/2006/relationships/hyperlink" Target="https://www.blueletterbible.org/search/preSearch.cfm?Criteria=Revelation+21.1-2&amp;t=NKJV" TargetMode="External"/><Relationship Id="rId31" Type="http://schemas.openxmlformats.org/officeDocument/2006/relationships/hyperlink" Target="https://www.blueletterbible.org/search/preSearch.cfm?Criteria=Genesis+3.24&amp;t=NKJV" TargetMode="External"/><Relationship Id="rId44" Type="http://schemas.openxmlformats.org/officeDocument/2006/relationships/hyperlink" Target="https://www.blueletterbible.org/search/preSearch.cfm?Criteria=Genesis+2.15-17&amp;t=NKJV" TargetMode="External"/><Relationship Id="rId52" Type="http://schemas.openxmlformats.org/officeDocument/2006/relationships/hyperlink" Target="https://www.blueletterbible.org/search/preSearch.cfm?Criteria=Revelation+2.7&amp;t=NKJV" TargetMode="External"/><Relationship Id="rId60" Type="http://schemas.openxmlformats.org/officeDocument/2006/relationships/hyperlink" Target="http://bibleone.net/BiG_A.htm" TargetMode="External"/><Relationship Id="rId65" Type="http://schemas.openxmlformats.org/officeDocument/2006/relationships/hyperlink" Target="https://www.blueletterbible.org/search/preSearch.cfm?Criteria=1Corinthians+15.24-28&amp;t=NKJV" TargetMode="External"/><Relationship Id="rId73" Type="http://schemas.openxmlformats.org/officeDocument/2006/relationships/hyperlink" Target="https://www.blueletterbible.org/search/preSearch.cfm?Criteria=Revelation+20.3&amp;t=NKJV" TargetMode="External"/><Relationship Id="rId78" Type="http://schemas.openxmlformats.org/officeDocument/2006/relationships/hyperlink" Target="https://www.blueletterbible.org/search/preSearch.cfm?Criteria=Ephesians+2.2&amp;t=NKJV" TargetMode="External"/><Relationship Id="rId81" Type="http://schemas.openxmlformats.org/officeDocument/2006/relationships/hyperlink" Target="http://bibleone.net/TOTE_31.htm" TargetMode="External"/><Relationship Id="rId86" Type="http://schemas.openxmlformats.org/officeDocument/2006/relationships/hyperlink" Target="https://www.blueletterbible.org/search/preSearch.cfm?Criteria=Revelation+21.1&amp;t=NKJV" TargetMode="External"/><Relationship Id="rId94" Type="http://schemas.openxmlformats.org/officeDocument/2006/relationships/hyperlink" Target="https://www.blueletterbible.org/search/preSearch.cfm?Criteria=Revelation+3&amp;t=NKJV" TargetMode="External"/><Relationship Id="rId99" Type="http://schemas.openxmlformats.org/officeDocument/2006/relationships/hyperlink" Target="https://www.blueletterbible.org/search/preSearch.cfm?Criteria=Revelation+22.5&amp;t=NKJV" TargetMode="External"/><Relationship Id="rId101" Type="http://schemas.openxmlformats.org/officeDocument/2006/relationships/hyperlink" Target="https://www.blueletterbible.org/search/preSearch.cfm?Criteria=Revelation+21.5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koffeekupkandor.com/gods-word-three.php" TargetMode="External"/><Relationship Id="rId13" Type="http://schemas.openxmlformats.org/officeDocument/2006/relationships/hyperlink" Target="https://www.blueletterbible.org/search/preSearch.cfm?Criteria=Revelation+21&amp;t=NKJV" TargetMode="External"/><Relationship Id="rId18" Type="http://schemas.openxmlformats.org/officeDocument/2006/relationships/hyperlink" Target="https://www.blueletterbible.org/search/preSearch.cfm?Criteria=1Corinthians+15.24-28&amp;t=NKJV" TargetMode="External"/><Relationship Id="rId39" Type="http://schemas.openxmlformats.org/officeDocument/2006/relationships/hyperlink" Target="https://www.blueletterbible.org/search/preSearch.cfm?Criteria=Genesis+2.16-17&amp;t=NKJV" TargetMode="External"/><Relationship Id="rId34" Type="http://schemas.openxmlformats.org/officeDocument/2006/relationships/hyperlink" Target="https://www.blueletterbible.org/search/preSearch.cfm?Criteria=Proverbs+13.12&amp;t=NKJV" TargetMode="External"/><Relationship Id="rId50" Type="http://schemas.openxmlformats.org/officeDocument/2006/relationships/hyperlink" Target="https://www.blueletterbible.org/search/preSearch.cfm?Criteria=Genesis+3&amp;t=NKJV" TargetMode="External"/><Relationship Id="rId55" Type="http://schemas.openxmlformats.org/officeDocument/2006/relationships/hyperlink" Target="https://www.blueletterbible.org/search/preSearch.cfm?Criteria=Genesis+3&amp;t=NKJV" TargetMode="External"/><Relationship Id="rId76" Type="http://schemas.openxmlformats.org/officeDocument/2006/relationships/hyperlink" Target="https://www.blueletterbible.org/search/preSearch.cfm?Criteria=Revelation+20.10-15&amp;t=NKJV" TargetMode="External"/><Relationship Id="rId97" Type="http://schemas.openxmlformats.org/officeDocument/2006/relationships/hyperlink" Target="https://www.blueletterbible.org/search/preSearch.cfm?Criteria=Revelation+22.1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5138</Words>
  <Characters>29291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2020-09-12T22:54:00Z</dcterms:created>
  <dcterms:modified xsi:type="dcterms:W3CDTF">2020-09-13T10:45:00Z</dcterms:modified>
</cp:coreProperties>
</file>