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B8" w:rsidRPr="00544DB8" w:rsidRDefault="00544DB8" w:rsidP="00544DB8">
      <w:pPr>
        <w:shd w:val="clear" w:color="auto" w:fill="FFFFFF"/>
        <w:rPr>
          <w:rFonts w:eastAsia="Times New Roman"/>
          <w:sz w:val="18"/>
          <w:szCs w:val="18"/>
        </w:rPr>
      </w:pPr>
      <w:r w:rsidRPr="00544DB8">
        <w:rPr>
          <w:rFonts w:ascii="Arial Black" w:eastAsia="Times New Roman" w:hAnsi="Arial Black"/>
          <w:sz w:val="36"/>
          <w:szCs w:val="36"/>
        </w:rPr>
        <w:t>The</w:t>
      </w:r>
      <w:r>
        <w:rPr>
          <w:rFonts w:ascii="Arial Black" w:eastAsia="Times New Roman" w:hAnsi="Arial Black"/>
          <w:sz w:val="36"/>
          <w:szCs w:val="36"/>
        </w:rPr>
        <w:t xml:space="preserve"> </w:t>
      </w:r>
      <w:r w:rsidRPr="00544DB8">
        <w:rPr>
          <w:rFonts w:ascii="Arial Black" w:eastAsia="Times New Roman" w:hAnsi="Arial Black"/>
          <w:sz w:val="36"/>
          <w:szCs w:val="36"/>
        </w:rPr>
        <w:t>Lord’s</w:t>
      </w:r>
      <w:r>
        <w:rPr>
          <w:rFonts w:ascii="Arial Black" w:eastAsia="Times New Roman" w:hAnsi="Arial Black"/>
          <w:sz w:val="36"/>
          <w:szCs w:val="36"/>
        </w:rPr>
        <w:t xml:space="preserve"> </w:t>
      </w:r>
      <w:r w:rsidRPr="00544DB8">
        <w:rPr>
          <w:rFonts w:ascii="Arial Black" w:eastAsia="Times New Roman" w:hAnsi="Arial Black"/>
          <w:sz w:val="36"/>
          <w:szCs w:val="36"/>
        </w:rPr>
        <w:t>Supper</w:t>
      </w:r>
    </w:p>
    <w:p w:rsidR="00544DB8" w:rsidRDefault="00544DB8" w:rsidP="00544DB8">
      <w:pPr>
        <w:shd w:val="clear" w:color="auto" w:fill="FFFFFF"/>
        <w:rPr>
          <w:rFonts w:eastAsia="Times New Roman"/>
        </w:rPr>
      </w:pPr>
      <w:r w:rsidRPr="00544DB8">
        <w:rPr>
          <w:rFonts w:eastAsia="Times New Roman"/>
          <w:b/>
          <w:bCs/>
        </w:rPr>
        <w:t xml:space="preserve">By Charles Strong of </w:t>
      </w:r>
      <w:hyperlink r:id="rId5" w:history="1">
        <w:r w:rsidRPr="00544DB8">
          <w:rPr>
            <w:rFonts w:ascii="Arial Black" w:eastAsia="Times New Roman" w:hAnsi="Arial Black"/>
            <w:color w:val="2F5496"/>
            <w:u w:val="single"/>
          </w:rPr>
          <w:t>Bible One</w:t>
        </w:r>
      </w:hyperlink>
    </w:p>
    <w:p w:rsidR="00544DB8" w:rsidRPr="00544DB8" w:rsidRDefault="00544DB8" w:rsidP="00544DB8">
      <w:pPr>
        <w:shd w:val="clear" w:color="auto" w:fill="FFFFFF"/>
        <w:rPr>
          <w:rFonts w:eastAsia="Times New Roman"/>
          <w:b/>
          <w:color w:val="2F5496" w:themeColor="accent5" w:themeShade="BF"/>
        </w:rPr>
      </w:pPr>
      <w:r w:rsidRPr="00544DB8">
        <w:rPr>
          <w:rFonts w:eastAsia="Times New Roman"/>
          <w:b/>
          <w:color w:val="2F5496" w:themeColor="accent5" w:themeShade="BF"/>
        </w:rPr>
        <w:t>~~~~~~~~~~~~~~~~~~~~~~~~~~~~~~~~~~~~~~~~~~~~~~~~~~~~~~~~~~~~~~~~~~~~~~~~~</w:t>
      </w:r>
    </w:p>
    <w:p w:rsidR="00544DB8" w:rsidRPr="00544DB8" w:rsidRDefault="00544DB8" w:rsidP="00544DB8">
      <w:pPr>
        <w:shd w:val="clear" w:color="auto" w:fill="FFFFFF"/>
        <w:rPr>
          <w:rFonts w:eastAsia="Times New Roman"/>
        </w:rPr>
      </w:pPr>
      <w:r w:rsidRPr="00544DB8">
        <w:rPr>
          <w:rFonts w:eastAsia="Times New Roman"/>
        </w:rPr>
        <w:t xml:space="preserve">The </w:t>
      </w:r>
      <w:r w:rsidRPr="00544DB8">
        <w:rPr>
          <w:rFonts w:eastAsia="Times New Roman"/>
          <w:i/>
          <w:iCs/>
        </w:rPr>
        <w:t>Last Supper,</w:t>
      </w:r>
      <w:r w:rsidRPr="00544DB8">
        <w:rPr>
          <w:rFonts w:eastAsia="Times New Roman"/>
        </w:rPr>
        <w:t xml:space="preserve"> usually referred to as the </w:t>
      </w:r>
      <w:r w:rsidRPr="00544DB8">
        <w:rPr>
          <w:rFonts w:eastAsia="Times New Roman"/>
          <w:i/>
          <w:iCs/>
        </w:rPr>
        <w:t>Lord’s Supper</w:t>
      </w:r>
      <w:r w:rsidRPr="00544DB8">
        <w:rPr>
          <w:rFonts w:eastAsia="Times New Roman"/>
        </w:rPr>
        <w:t xml:space="preserve">, is one of two sacraments (a visible sign of an inward grace) enjoined by Jesus Christ while here on earth, the other being </w:t>
      </w:r>
      <w:r w:rsidRPr="00544DB8">
        <w:rPr>
          <w:rFonts w:eastAsia="Times New Roman"/>
          <w:i/>
          <w:iCs/>
        </w:rPr>
        <w:t>Baptism</w:t>
      </w:r>
      <w:r w:rsidRPr="00544DB8">
        <w:rPr>
          <w:rFonts w:eastAsia="Times New Roman"/>
        </w:rPr>
        <w:t xml:space="preserve">.  It is also referred to as </w:t>
      </w:r>
      <w:r w:rsidRPr="00544DB8">
        <w:rPr>
          <w:rFonts w:eastAsia="Times New Roman"/>
          <w:i/>
          <w:iCs/>
        </w:rPr>
        <w:t>Holy Communion</w:t>
      </w:r>
      <w:r w:rsidRPr="00544DB8">
        <w:rPr>
          <w:rFonts w:eastAsia="Times New Roman"/>
        </w:rPr>
        <w:t xml:space="preserve"> or t</w:t>
      </w:r>
      <w:r w:rsidRPr="00544DB8">
        <w:rPr>
          <w:rFonts w:eastAsia="Times New Roman"/>
          <w:i/>
          <w:iCs/>
        </w:rPr>
        <w:t>he Eucharist</w:t>
      </w:r>
      <w:r w:rsidRPr="00544DB8">
        <w:rPr>
          <w:rFonts w:eastAsia="Times New Roman"/>
        </w:rPr>
        <w:t>.  Roman Catholic and Greek Orthodox churches promote five other activities they term as “sacraments” (confirmation, matrimony, penance, holy orders, and extreme unction), which this commentator finds no basis for in God’s Word.</w:t>
      </w:r>
    </w:p>
    <w:p w:rsidR="00544DB8" w:rsidRPr="00544DB8" w:rsidRDefault="00544DB8" w:rsidP="00544DB8">
      <w:pPr>
        <w:shd w:val="clear" w:color="auto" w:fill="FFFFFF"/>
        <w:rPr>
          <w:rFonts w:eastAsia="Times New Roman"/>
        </w:rPr>
      </w:pPr>
    </w:p>
    <w:p w:rsidR="00544DB8" w:rsidRPr="00544DB8" w:rsidRDefault="00544DB8" w:rsidP="00544DB8">
      <w:pPr>
        <w:shd w:val="clear" w:color="auto" w:fill="FFFFFF"/>
        <w:rPr>
          <w:rFonts w:eastAsia="Times New Roman"/>
        </w:rPr>
      </w:pPr>
      <w:r w:rsidRPr="00544DB8">
        <w:rPr>
          <w:rFonts w:eastAsia="Times New Roman"/>
        </w:rPr>
        <w:t xml:space="preserve">The basis for the </w:t>
      </w:r>
      <w:r w:rsidRPr="00544DB8">
        <w:rPr>
          <w:rFonts w:eastAsia="Times New Roman"/>
          <w:i/>
          <w:iCs/>
        </w:rPr>
        <w:t>Last Supper</w:t>
      </w:r>
      <w:r w:rsidRPr="00544DB8">
        <w:rPr>
          <w:rFonts w:eastAsia="Times New Roman"/>
        </w:rPr>
        <w:t xml:space="preserve"> was established during the last meal in the “upper room” and attended by Jesus Christ and His disciples prior to going to His death on the cross of Calvary, as seen in </w:t>
      </w:r>
      <w:hyperlink r:id="rId6" w:history="1">
        <w:r w:rsidRPr="00544DB8">
          <w:rPr>
            <w:rFonts w:eastAsia="Times New Roman"/>
            <w:color w:val="0062B5"/>
            <w:u w:val="single"/>
          </w:rPr>
          <w:t>Matthew 26:26-29</w:t>
        </w:r>
      </w:hyperlink>
      <w:r w:rsidRPr="00544DB8">
        <w:rPr>
          <w:rFonts w:eastAsia="Times New Roman"/>
        </w:rPr>
        <w:t xml:space="preserve">; </w:t>
      </w:r>
      <w:hyperlink r:id="rId7" w:history="1">
        <w:r w:rsidRPr="00544DB8">
          <w:rPr>
            <w:rFonts w:eastAsia="Times New Roman"/>
            <w:color w:val="0062B5"/>
            <w:u w:val="single"/>
          </w:rPr>
          <w:t>Mark 14:22-25</w:t>
        </w:r>
      </w:hyperlink>
      <w:r w:rsidRPr="00544DB8">
        <w:rPr>
          <w:rFonts w:eastAsia="Times New Roman"/>
        </w:rPr>
        <w:t xml:space="preserve"> and </w:t>
      </w:r>
      <w:hyperlink r:id="rId8" w:history="1">
        <w:r w:rsidRPr="00544DB8">
          <w:rPr>
            <w:rFonts w:eastAsia="Times New Roman"/>
            <w:color w:val="0062B5"/>
            <w:u w:val="single"/>
          </w:rPr>
          <w:t>Luke 22:14-20</w:t>
        </w:r>
      </w:hyperlink>
      <w:r w:rsidRPr="00544DB8">
        <w:rPr>
          <w:rFonts w:eastAsia="Times New Roman"/>
        </w:rPr>
        <w:t>.  This was the Passover feast at which pious Jews looked forward to a second “deliverance” like that from Egypt (</w:t>
      </w:r>
      <w:hyperlink r:id="rId9" w:history="1">
        <w:r w:rsidRPr="00544DB8">
          <w:rPr>
            <w:rFonts w:eastAsia="Times New Roman"/>
            <w:color w:val="0062B5"/>
            <w:u w:val="single"/>
          </w:rPr>
          <w:t>Isaiah 51:9-16</w:t>
        </w:r>
      </w:hyperlink>
      <w:r w:rsidRPr="00544DB8">
        <w:rPr>
          <w:rFonts w:eastAsia="Times New Roman"/>
        </w:rPr>
        <w:t>).  It was within this setting around this “expectation” that Jesus instituted a communion supper, which emphasized the messianic and eschatological aspects of the Passover meal and which, in the Church Age, replaced the Passover Feast.</w:t>
      </w:r>
    </w:p>
    <w:p w:rsidR="00544DB8" w:rsidRPr="00544DB8" w:rsidRDefault="00544DB8" w:rsidP="00544DB8">
      <w:pPr>
        <w:shd w:val="clear" w:color="auto" w:fill="FFFFFF"/>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i/>
          <w:iCs/>
        </w:rPr>
        <w:t>Now it is the Messiah who has come in person to this paschal feast, taking the cup of judgment and salvation which means deliverance for God’s people.  Yet the meal also anticipates the final messianic banquet (</w:t>
      </w:r>
      <w:hyperlink r:id="rId10" w:history="1">
        <w:r w:rsidRPr="00544DB8">
          <w:rPr>
            <w:rFonts w:eastAsia="Times New Roman"/>
            <w:i/>
            <w:iCs/>
            <w:color w:val="0062B5"/>
            <w:u w:val="single"/>
          </w:rPr>
          <w:t>Isaiah 25:6</w:t>
        </w:r>
      </w:hyperlink>
      <w:r w:rsidRPr="00544DB8">
        <w:rPr>
          <w:rFonts w:eastAsia="Times New Roman"/>
          <w:i/>
          <w:iCs/>
        </w:rPr>
        <w:t xml:space="preserve">; cf. </w:t>
      </w:r>
      <w:hyperlink r:id="rId11" w:history="1">
        <w:r w:rsidRPr="00544DB8">
          <w:rPr>
            <w:rFonts w:eastAsia="Times New Roman"/>
            <w:i/>
            <w:iCs/>
            <w:color w:val="0062B5"/>
            <w:u w:val="single"/>
          </w:rPr>
          <w:t>Luke 14:15-24</w:t>
        </w:r>
      </w:hyperlink>
      <w:r w:rsidRPr="00544DB8">
        <w:rPr>
          <w:rFonts w:eastAsia="Times New Roman"/>
          <w:i/>
          <w:iCs/>
        </w:rPr>
        <w:t>) when the divine work of salvation is consummated and there is a fulfillment of fellowship with the Lord (</w:t>
      </w:r>
      <w:hyperlink r:id="rId12" w:history="1">
        <w:r w:rsidRPr="00544DB8">
          <w:rPr>
            <w:rFonts w:eastAsia="Times New Roman"/>
            <w:i/>
            <w:iCs/>
            <w:color w:val="0062B5"/>
            <w:u w:val="single"/>
          </w:rPr>
          <w:t>Matthew 26:29</w:t>
        </w:r>
      </w:hyperlink>
      <w:r w:rsidRPr="00544DB8">
        <w:rPr>
          <w:rFonts w:eastAsia="Times New Roman"/>
          <w:i/>
          <w:iCs/>
        </w:rPr>
        <w:t>)</w:t>
      </w:r>
      <w:r w:rsidRPr="00544DB8">
        <w:rPr>
          <w:rFonts w:eastAsia="Times New Roman"/>
        </w:rPr>
        <w:t>. (Wycliffe Bible Dictionary, Hendrickson Publishers, Inc., 2000, Glenn W. Barker, Th.D., Dean &amp; Professor of Christian Origins, Fuller Theological Seminary, Pasadena, California)</w:t>
      </w:r>
    </w:p>
    <w:p w:rsidR="00544DB8" w:rsidRPr="00544DB8" w:rsidRDefault="00544DB8" w:rsidP="00544DB8">
      <w:pPr>
        <w:shd w:val="clear" w:color="auto" w:fill="FFFFFF"/>
        <w:rPr>
          <w:rFonts w:eastAsia="Times New Roman"/>
        </w:rPr>
      </w:pPr>
    </w:p>
    <w:p w:rsidR="00544DB8" w:rsidRPr="00544DB8" w:rsidRDefault="00544DB8" w:rsidP="00544DB8">
      <w:pPr>
        <w:shd w:val="clear" w:color="auto" w:fill="FFFFFF"/>
        <w:rPr>
          <w:rFonts w:eastAsia="Times New Roman"/>
        </w:rPr>
      </w:pPr>
      <w:r w:rsidRPr="00544DB8">
        <w:rPr>
          <w:rFonts w:eastAsia="Times New Roman"/>
        </w:rPr>
        <w:t>It was during this particular Passover Meal between Jesus and His disciples, a meal which portrayed the deliverance of the children of Israel from the yoke of Egypt, that Christ substituted the reality of Himself as the true (Passover) Lamb of God who would through His suffering (signified by the “broken bread” as His broken body) and death (signified by the cup of the “fruit of the vine” as His spilled blood) take away the sins of the world.  But it was only after the death of Christ and His resurrection that the necessity to continue such a meal of this nature, with this new meaning, was understood by Christ’s followers.</w:t>
      </w:r>
    </w:p>
    <w:p w:rsidR="00544DB8" w:rsidRPr="00544DB8" w:rsidRDefault="00544DB8" w:rsidP="00544DB8">
      <w:pPr>
        <w:shd w:val="clear" w:color="auto" w:fill="FFFFFF"/>
        <w:rPr>
          <w:rFonts w:eastAsia="Times New Roman"/>
        </w:rPr>
      </w:pPr>
    </w:p>
    <w:p w:rsidR="00544DB8" w:rsidRPr="00544DB8" w:rsidRDefault="00544DB8" w:rsidP="00544DB8">
      <w:pPr>
        <w:shd w:val="clear" w:color="auto" w:fill="FFFFFF"/>
        <w:rPr>
          <w:rFonts w:eastAsia="Times New Roman"/>
        </w:rPr>
      </w:pPr>
      <w:r w:rsidRPr="00544DB8">
        <w:rPr>
          <w:rFonts w:eastAsia="Times New Roman"/>
        </w:rPr>
        <w:t xml:space="preserve">The necessity for continuing the </w:t>
      </w:r>
      <w:r w:rsidRPr="00544DB8">
        <w:rPr>
          <w:rFonts w:eastAsia="Times New Roman"/>
          <w:i/>
          <w:iCs/>
        </w:rPr>
        <w:t>Lord’s Supper</w:t>
      </w:r>
      <w:r w:rsidRPr="00544DB8">
        <w:rPr>
          <w:rFonts w:eastAsia="Times New Roman"/>
        </w:rPr>
        <w:t xml:space="preserve">, along with the reasons for its observance is found in </w:t>
      </w:r>
      <w:hyperlink r:id="rId13" w:history="1">
        <w:r w:rsidRPr="00544DB8">
          <w:rPr>
            <w:rFonts w:eastAsia="Times New Roman"/>
            <w:color w:val="0062B5"/>
            <w:u w:val="single"/>
          </w:rPr>
          <w:t>1 Corinthians 10:16-17</w:t>
        </w:r>
      </w:hyperlink>
      <w:r w:rsidRPr="00544DB8">
        <w:rPr>
          <w:rFonts w:eastAsia="Times New Roman"/>
        </w:rPr>
        <w:t xml:space="preserve">; </w:t>
      </w:r>
      <w:hyperlink r:id="rId14" w:history="1">
        <w:r w:rsidRPr="00544DB8">
          <w:rPr>
            <w:rFonts w:eastAsia="Times New Roman"/>
            <w:color w:val="0062B5"/>
            <w:u w:val="single"/>
          </w:rPr>
          <w:t>11:23-26</w:t>
        </w:r>
      </w:hyperlink>
      <w:r w:rsidRPr="00544DB8">
        <w:rPr>
          <w:rFonts w:eastAsia="Times New Roman"/>
        </w:rPr>
        <w:t>, as follows:</w:t>
      </w:r>
    </w:p>
    <w:p w:rsidR="00544DB8" w:rsidRPr="00544DB8" w:rsidRDefault="00544DB8" w:rsidP="00544DB8">
      <w:pPr>
        <w:shd w:val="clear" w:color="auto" w:fill="FFFFFF"/>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i/>
          <w:iCs/>
        </w:rPr>
        <w:t xml:space="preserve">The cup of blessing which we bless, is it not the communion of the blood of Christ? The bread which we break, is it not the communion of the body of Christ?  For </w:t>
      </w:r>
      <w:proofErr w:type="gramStart"/>
      <w:r w:rsidRPr="00544DB8">
        <w:rPr>
          <w:rFonts w:eastAsia="Times New Roman"/>
          <w:i/>
          <w:iCs/>
        </w:rPr>
        <w:t>we</w:t>
      </w:r>
      <w:proofErr w:type="gramEnd"/>
      <w:r w:rsidRPr="00544DB8">
        <w:rPr>
          <w:rFonts w:eastAsia="Times New Roman"/>
          <w:i/>
          <w:iCs/>
        </w:rPr>
        <w:t xml:space="preserve">, though many, are one bread and one body; for we all partake of that one bread. . . . For I received from the Lord that which I also delivered to you: that the Lord Jesus on the same night in which He was betrayed took bread; and when He had given thanks, He broke it and said, "Take, eat; this is My body which is broken for you; do this in remembrance of Me."  In the same manner He also took the cup after supper, saying, "This cup is the new covenant in </w:t>
      </w:r>
      <w:proofErr w:type="gramStart"/>
      <w:r w:rsidRPr="00544DB8">
        <w:rPr>
          <w:rFonts w:eastAsia="Times New Roman"/>
          <w:i/>
          <w:iCs/>
        </w:rPr>
        <w:t>My</w:t>
      </w:r>
      <w:proofErr w:type="gramEnd"/>
      <w:r w:rsidRPr="00544DB8">
        <w:rPr>
          <w:rFonts w:eastAsia="Times New Roman"/>
          <w:i/>
          <w:iCs/>
        </w:rPr>
        <w:t xml:space="preserve"> blood. This do, as often as you drink it, in remembrance of </w:t>
      </w:r>
      <w:proofErr w:type="gramStart"/>
      <w:r w:rsidRPr="00544DB8">
        <w:rPr>
          <w:rFonts w:eastAsia="Times New Roman"/>
          <w:i/>
          <w:iCs/>
        </w:rPr>
        <w:t>Me</w:t>
      </w:r>
      <w:proofErr w:type="gramEnd"/>
      <w:r w:rsidRPr="00544DB8">
        <w:rPr>
          <w:rFonts w:eastAsia="Times New Roman"/>
          <w:i/>
          <w:iCs/>
        </w:rPr>
        <w:t>."  For as often as you eat this bread and drink this cup, you proclaim the Lord's death until He comes</w:t>
      </w:r>
      <w:r w:rsidRPr="00544DB8">
        <w:rPr>
          <w:rFonts w:eastAsia="Times New Roman"/>
        </w:rPr>
        <w:t>.</w:t>
      </w:r>
    </w:p>
    <w:p w:rsidR="00544DB8" w:rsidRPr="00544DB8" w:rsidRDefault="00544DB8" w:rsidP="00544DB8">
      <w:pPr>
        <w:shd w:val="clear" w:color="auto" w:fill="FFFFFF"/>
        <w:rPr>
          <w:rFonts w:eastAsia="Times New Roman"/>
        </w:rPr>
      </w:pPr>
    </w:p>
    <w:p w:rsidR="00544DB8" w:rsidRPr="00544DB8" w:rsidRDefault="00544DB8" w:rsidP="00544DB8">
      <w:pPr>
        <w:shd w:val="clear" w:color="auto" w:fill="FFFFFF"/>
        <w:rPr>
          <w:rFonts w:eastAsia="Times New Roman"/>
        </w:rPr>
      </w:pPr>
      <w:r w:rsidRPr="00544DB8">
        <w:rPr>
          <w:rFonts w:eastAsia="Times New Roman"/>
        </w:rPr>
        <w:t>From this passage the Christian understands that he is to observe the Lord’s Supper for the following reasons:</w:t>
      </w:r>
    </w:p>
    <w:p w:rsidR="00544DB8" w:rsidRPr="00544DB8" w:rsidRDefault="00544DB8" w:rsidP="00544DB8">
      <w:pPr>
        <w:shd w:val="clear" w:color="auto" w:fill="FFFFFF"/>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rPr>
        <w:t xml:space="preserve">1) To </w:t>
      </w:r>
      <w:r w:rsidRPr="00544DB8">
        <w:rPr>
          <w:rFonts w:eastAsia="Times New Roman"/>
          <w:i/>
          <w:iCs/>
        </w:rPr>
        <w:t>remember the sacrifice of Jesus Christ.</w:t>
      </w:r>
    </w:p>
    <w:p w:rsidR="00544DB8" w:rsidRPr="00544DB8" w:rsidRDefault="00544DB8" w:rsidP="00544DB8">
      <w:pPr>
        <w:shd w:val="clear" w:color="auto" w:fill="FFFFFF"/>
        <w:ind w:left="720"/>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rPr>
        <w:t xml:space="preserve">The eating of the bread, which represents the broken body (suffering) of Christ, and the drinking of the “fruit of the vine,” which represents the spilled blood (death—both spiritual and physical) of Christ, is to vividly and personally call to memory the physical and spiritually substitutional payment of sin’s penalty-price, which Jesus Christ discharged on the cross of Calvary.  The bread and “fruit of the vine” are symbolic of spiritual truths; they </w:t>
      </w:r>
      <w:r w:rsidRPr="00544DB8">
        <w:rPr>
          <w:rFonts w:eastAsia="Times New Roman"/>
          <w:i/>
          <w:iCs/>
        </w:rPr>
        <w:t>do not</w:t>
      </w:r>
      <w:r w:rsidRPr="00544DB8">
        <w:rPr>
          <w:rFonts w:eastAsia="Times New Roman"/>
        </w:rPr>
        <w:t>, as some would believe, become the actual flesh and blood of Jesus Christ.  In observing this sacrament there is no “fresh atonement made for the temporal guilt of post-baptismal sin or for offenses against the church, as Romanism claims.</w:t>
      </w:r>
    </w:p>
    <w:p w:rsidR="00544DB8" w:rsidRPr="00544DB8" w:rsidRDefault="00544DB8" w:rsidP="00544DB8">
      <w:pPr>
        <w:shd w:val="clear" w:color="auto" w:fill="FFFFFF"/>
        <w:ind w:left="720"/>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rPr>
        <w:t xml:space="preserve">2) To </w:t>
      </w:r>
      <w:r w:rsidRPr="00544DB8">
        <w:rPr>
          <w:rFonts w:eastAsia="Times New Roman"/>
          <w:i/>
          <w:iCs/>
        </w:rPr>
        <w:t>proclaim</w:t>
      </w:r>
      <w:r w:rsidRPr="00544DB8">
        <w:rPr>
          <w:rFonts w:eastAsia="Times New Roman"/>
        </w:rPr>
        <w:t xml:space="preserve"> the </w:t>
      </w:r>
      <w:r w:rsidRPr="00544DB8">
        <w:rPr>
          <w:rFonts w:eastAsia="Times New Roman"/>
          <w:i/>
          <w:iCs/>
        </w:rPr>
        <w:t xml:space="preserve">gospel </w:t>
      </w:r>
      <w:r w:rsidRPr="00544DB8">
        <w:rPr>
          <w:rFonts w:eastAsia="Times New Roman"/>
        </w:rPr>
        <w:t>message.</w:t>
      </w:r>
    </w:p>
    <w:p w:rsidR="00544DB8" w:rsidRPr="00544DB8" w:rsidRDefault="00544DB8" w:rsidP="00544DB8">
      <w:pPr>
        <w:shd w:val="clear" w:color="auto" w:fill="FFFFFF"/>
        <w:ind w:left="720"/>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rPr>
        <w:t xml:space="preserve">Each time a person takes the </w:t>
      </w:r>
      <w:r w:rsidRPr="00544DB8">
        <w:rPr>
          <w:rFonts w:eastAsia="Times New Roman"/>
          <w:i/>
          <w:iCs/>
        </w:rPr>
        <w:t>Lord’s Supper</w:t>
      </w:r>
      <w:r w:rsidRPr="00544DB8">
        <w:rPr>
          <w:rFonts w:eastAsia="Times New Roman"/>
        </w:rPr>
        <w:t xml:space="preserve">, he “proclaims the Lord’s death.”  And Paul uses the phrase, “cup of blessing which we bless.”  The Greek word for “blessing” is </w:t>
      </w:r>
      <w:r w:rsidRPr="00544DB8">
        <w:rPr>
          <w:rFonts w:eastAsia="Times New Roman"/>
          <w:i/>
          <w:iCs/>
        </w:rPr>
        <w:t>eulogia</w:t>
      </w:r>
      <w:r w:rsidRPr="00544DB8">
        <w:rPr>
          <w:rFonts w:eastAsia="Times New Roman"/>
        </w:rPr>
        <w:t xml:space="preserve">, a form of </w:t>
      </w:r>
      <w:proofErr w:type="spellStart"/>
      <w:r w:rsidRPr="00544DB8">
        <w:rPr>
          <w:rFonts w:eastAsia="Times New Roman"/>
          <w:i/>
          <w:iCs/>
        </w:rPr>
        <w:t>eulogeo</w:t>
      </w:r>
      <w:proofErr w:type="spellEnd"/>
      <w:r w:rsidRPr="00544DB8">
        <w:rPr>
          <w:rFonts w:eastAsia="Times New Roman"/>
          <w:i/>
          <w:iCs/>
        </w:rPr>
        <w:t xml:space="preserve"> </w:t>
      </w:r>
      <w:r w:rsidRPr="00544DB8">
        <w:rPr>
          <w:rFonts w:eastAsia="Times New Roman"/>
        </w:rPr>
        <w:t xml:space="preserve">(bless), which comes from </w:t>
      </w:r>
      <w:proofErr w:type="spellStart"/>
      <w:r w:rsidRPr="00544DB8">
        <w:rPr>
          <w:rFonts w:eastAsia="Times New Roman"/>
          <w:i/>
          <w:iCs/>
        </w:rPr>
        <w:t>eu</w:t>
      </w:r>
      <w:proofErr w:type="spellEnd"/>
      <w:r w:rsidRPr="00544DB8">
        <w:rPr>
          <w:rFonts w:eastAsia="Times New Roman"/>
          <w:i/>
          <w:iCs/>
        </w:rPr>
        <w:t xml:space="preserve"> </w:t>
      </w:r>
      <w:r w:rsidRPr="00544DB8">
        <w:rPr>
          <w:rFonts w:eastAsia="Times New Roman"/>
        </w:rPr>
        <w:t xml:space="preserve">(good) and </w:t>
      </w:r>
      <w:proofErr w:type="spellStart"/>
      <w:r w:rsidRPr="00544DB8">
        <w:rPr>
          <w:rFonts w:eastAsia="Times New Roman"/>
          <w:i/>
          <w:iCs/>
        </w:rPr>
        <w:t>lego</w:t>
      </w:r>
      <w:proofErr w:type="spellEnd"/>
      <w:r w:rsidRPr="00544DB8">
        <w:rPr>
          <w:rFonts w:eastAsia="Times New Roman"/>
          <w:i/>
          <w:iCs/>
        </w:rPr>
        <w:t xml:space="preserve"> </w:t>
      </w:r>
      <w:r w:rsidRPr="00544DB8">
        <w:rPr>
          <w:rFonts w:eastAsia="Times New Roman"/>
        </w:rPr>
        <w:t xml:space="preserve">(to speak), and literally means to “speak well of.”  Therefore, the “cup of blessing” is also the “cup of expression of good.”  Here the meaning is not referring to just a proclamation of the fact of Christ’s death, which of course is included, but it is a declaration of the </w:t>
      </w:r>
      <w:r w:rsidRPr="00544DB8">
        <w:rPr>
          <w:rFonts w:eastAsia="Times New Roman"/>
          <w:i/>
          <w:iCs/>
        </w:rPr>
        <w:t xml:space="preserve">meaning </w:t>
      </w:r>
      <w:r w:rsidRPr="00544DB8">
        <w:rPr>
          <w:rFonts w:eastAsia="Times New Roman"/>
        </w:rPr>
        <w:t xml:space="preserve">and </w:t>
      </w:r>
      <w:r w:rsidRPr="00544DB8">
        <w:rPr>
          <w:rFonts w:eastAsia="Times New Roman"/>
          <w:i/>
          <w:iCs/>
        </w:rPr>
        <w:t xml:space="preserve">significance </w:t>
      </w:r>
      <w:r w:rsidRPr="00544DB8">
        <w:rPr>
          <w:rFonts w:eastAsia="Times New Roman"/>
        </w:rPr>
        <w:t xml:space="preserve">of His death.  It was on the cross that Christ bore, the Scripture says </w:t>
      </w:r>
      <w:r w:rsidRPr="00544DB8">
        <w:rPr>
          <w:rFonts w:eastAsia="Times New Roman"/>
          <w:i/>
          <w:iCs/>
        </w:rPr>
        <w:t>became</w:t>
      </w:r>
      <w:r w:rsidRPr="00544DB8">
        <w:rPr>
          <w:rFonts w:eastAsia="Times New Roman"/>
        </w:rPr>
        <w:t>, the sins of the world in order that man may become the “righteousness of God in Christ” (</w:t>
      </w:r>
      <w:hyperlink r:id="rId15" w:history="1">
        <w:r w:rsidRPr="00544DB8">
          <w:rPr>
            <w:rFonts w:eastAsia="Times New Roman"/>
            <w:color w:val="0062B5"/>
            <w:u w:val="single"/>
          </w:rPr>
          <w:t>2 Corinthians 5:21</w:t>
        </w:r>
      </w:hyperlink>
      <w:r w:rsidRPr="00544DB8">
        <w:rPr>
          <w:rFonts w:eastAsia="Times New Roman"/>
        </w:rPr>
        <w:t xml:space="preserve">). </w:t>
      </w:r>
    </w:p>
    <w:p w:rsidR="00544DB8" w:rsidRPr="00544DB8" w:rsidRDefault="00544DB8" w:rsidP="00544DB8">
      <w:pPr>
        <w:shd w:val="clear" w:color="auto" w:fill="FFFFFF"/>
        <w:ind w:left="720"/>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rPr>
        <w:t xml:space="preserve">On the cross Jesus Christ fully paid through “spiritual death” (separation from God the Father) during a 3-hour period of darkness the penalty-price required by a holy God for all man’s sins.  The only action man then may take in order to apprehend God’s gift of salvation is to appropriate it </w:t>
      </w:r>
      <w:r w:rsidRPr="00544DB8">
        <w:rPr>
          <w:rFonts w:eastAsia="Times New Roman"/>
          <w:i/>
          <w:iCs/>
        </w:rPr>
        <w:t>solely by faith</w:t>
      </w:r>
      <w:r w:rsidRPr="00544DB8">
        <w:rPr>
          <w:rFonts w:eastAsia="Times New Roman"/>
        </w:rPr>
        <w:t xml:space="preserve">.  When an individual who understands his need of salvation turns </w:t>
      </w:r>
      <w:r w:rsidRPr="00544DB8">
        <w:rPr>
          <w:rFonts w:eastAsia="Times New Roman"/>
          <w:i/>
          <w:iCs/>
        </w:rPr>
        <w:t>solely to Christ</w:t>
      </w:r>
      <w:r w:rsidRPr="00544DB8">
        <w:rPr>
          <w:rFonts w:eastAsia="Times New Roman"/>
        </w:rPr>
        <w:t xml:space="preserve"> in complete and genuine dependence (trust, faith) for his personal salvation (a decision of the will), he is instantly saved.  The </w:t>
      </w:r>
      <w:r w:rsidRPr="00544DB8">
        <w:rPr>
          <w:rFonts w:eastAsia="Times New Roman"/>
          <w:i/>
          <w:iCs/>
        </w:rPr>
        <w:t xml:space="preserve">act of faith </w:t>
      </w:r>
      <w:r w:rsidRPr="00544DB8">
        <w:rPr>
          <w:rFonts w:eastAsia="Times New Roman"/>
        </w:rPr>
        <w:t>is represented by the consumption (receiving) of the bread and the “fruit of the vine” during the supper.</w:t>
      </w:r>
    </w:p>
    <w:p w:rsidR="00544DB8" w:rsidRPr="00544DB8" w:rsidRDefault="00544DB8" w:rsidP="00544DB8">
      <w:pPr>
        <w:shd w:val="clear" w:color="auto" w:fill="FFFFFF"/>
        <w:ind w:left="720"/>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rPr>
        <w:t xml:space="preserve">3) To </w:t>
      </w:r>
      <w:r w:rsidRPr="00544DB8">
        <w:rPr>
          <w:rFonts w:eastAsia="Times New Roman"/>
          <w:i/>
          <w:iCs/>
        </w:rPr>
        <w:t xml:space="preserve">affirm </w:t>
      </w:r>
      <w:r w:rsidRPr="00544DB8">
        <w:rPr>
          <w:rFonts w:eastAsia="Times New Roman"/>
        </w:rPr>
        <w:t xml:space="preserve">the </w:t>
      </w:r>
      <w:r w:rsidRPr="00544DB8">
        <w:rPr>
          <w:rFonts w:eastAsia="Times New Roman"/>
          <w:i/>
          <w:iCs/>
        </w:rPr>
        <w:t>spiritual union</w:t>
      </w:r>
      <w:r w:rsidRPr="00544DB8">
        <w:rPr>
          <w:rFonts w:eastAsia="Times New Roman"/>
        </w:rPr>
        <w:t xml:space="preserve"> all Christians have in Christ and with each other.</w:t>
      </w:r>
    </w:p>
    <w:p w:rsidR="00544DB8" w:rsidRPr="00544DB8" w:rsidRDefault="00544DB8" w:rsidP="00544DB8">
      <w:pPr>
        <w:shd w:val="clear" w:color="auto" w:fill="FFFFFF"/>
        <w:ind w:left="720"/>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rPr>
        <w:t xml:space="preserve">The passage in </w:t>
      </w:r>
      <w:hyperlink r:id="rId16" w:history="1">
        <w:r w:rsidRPr="00544DB8">
          <w:rPr>
            <w:rFonts w:eastAsia="Times New Roman"/>
            <w:color w:val="0062B5"/>
            <w:u w:val="single"/>
          </w:rPr>
          <w:t>1 Corinthians 10</w:t>
        </w:r>
      </w:hyperlink>
      <w:r w:rsidRPr="00544DB8">
        <w:rPr>
          <w:rFonts w:eastAsia="Times New Roman"/>
        </w:rPr>
        <w:t xml:space="preserve">; </w:t>
      </w:r>
      <w:hyperlink r:id="rId17" w:history="1">
        <w:r w:rsidRPr="00544DB8">
          <w:rPr>
            <w:rFonts w:eastAsia="Times New Roman"/>
            <w:color w:val="0062B5"/>
            <w:u w:val="single"/>
          </w:rPr>
          <w:t>11</w:t>
        </w:r>
      </w:hyperlink>
      <w:r w:rsidRPr="00544DB8">
        <w:rPr>
          <w:rFonts w:eastAsia="Times New Roman"/>
        </w:rPr>
        <w:t xml:space="preserve"> (above) that Paul penned to the Corinthian body of believers was a result of division caused by </w:t>
      </w:r>
      <w:r w:rsidRPr="00544DB8">
        <w:rPr>
          <w:rFonts w:eastAsia="Times New Roman"/>
          <w:i/>
          <w:iCs/>
        </w:rPr>
        <w:t xml:space="preserve">heresies </w:t>
      </w:r>
      <w:r w:rsidRPr="00544DB8">
        <w:rPr>
          <w:rFonts w:eastAsia="Times New Roman"/>
        </w:rPr>
        <w:t xml:space="preserve">(incorrect doctrine) and the introduction of </w:t>
      </w:r>
      <w:r w:rsidRPr="00544DB8">
        <w:rPr>
          <w:rFonts w:eastAsia="Times New Roman"/>
          <w:i/>
          <w:iCs/>
        </w:rPr>
        <w:t xml:space="preserve">worldly pleasures </w:t>
      </w:r>
      <w:r w:rsidRPr="00544DB8">
        <w:rPr>
          <w:rFonts w:eastAsia="Times New Roman"/>
        </w:rPr>
        <w:t xml:space="preserve">in that local church.  This led to their observing the </w:t>
      </w:r>
      <w:r w:rsidRPr="00544DB8">
        <w:rPr>
          <w:rFonts w:eastAsia="Times New Roman"/>
          <w:i/>
          <w:iCs/>
        </w:rPr>
        <w:t>Lord’s Supper</w:t>
      </w:r>
      <w:r w:rsidRPr="00544DB8">
        <w:rPr>
          <w:rFonts w:eastAsia="Times New Roman"/>
        </w:rPr>
        <w:t xml:space="preserve"> incorrectly and with improper attitude—all of which was highly displeasing to God.  Therefore, in addition to correcting the </w:t>
      </w:r>
      <w:r w:rsidRPr="00544DB8">
        <w:rPr>
          <w:rFonts w:eastAsia="Times New Roman"/>
          <w:i/>
          <w:iCs/>
        </w:rPr>
        <w:t xml:space="preserve">theology </w:t>
      </w:r>
      <w:r w:rsidRPr="00544DB8">
        <w:rPr>
          <w:rFonts w:eastAsia="Times New Roman"/>
        </w:rPr>
        <w:t xml:space="preserve">pertaining to the sacrament, Paul stressed that participation in it was to </w:t>
      </w:r>
      <w:r w:rsidRPr="00544DB8">
        <w:rPr>
          <w:rFonts w:eastAsia="Times New Roman"/>
          <w:i/>
          <w:iCs/>
        </w:rPr>
        <w:t xml:space="preserve">affirm </w:t>
      </w:r>
      <w:r w:rsidRPr="00544DB8">
        <w:rPr>
          <w:rFonts w:eastAsia="Times New Roman"/>
        </w:rPr>
        <w:t xml:space="preserve">the </w:t>
      </w:r>
      <w:r w:rsidRPr="00544DB8">
        <w:rPr>
          <w:rFonts w:eastAsia="Times New Roman"/>
          <w:i/>
          <w:iCs/>
        </w:rPr>
        <w:t>spiritual union</w:t>
      </w:r>
      <w:r w:rsidRPr="00544DB8">
        <w:rPr>
          <w:rFonts w:eastAsia="Times New Roman"/>
        </w:rPr>
        <w:t xml:space="preserve"> they had with Christ and with each other, “</w:t>
      </w:r>
      <w:r w:rsidRPr="00544DB8">
        <w:rPr>
          <w:rFonts w:eastAsia="Times New Roman"/>
          <w:i/>
          <w:iCs/>
        </w:rPr>
        <w:t>For we, though many, are one bread and one body; for we all partake of that one bread</w:t>
      </w:r>
      <w:r w:rsidRPr="00544DB8">
        <w:rPr>
          <w:rFonts w:eastAsia="Times New Roman"/>
        </w:rPr>
        <w:t xml:space="preserve">.”  In fact Paul uses the Greek word Koinonia, meaning “fellowship with and participation in” (regarding the blood and body of Christ), twice within this passage.  In addition to demonstrating the faith-acceptance of Christ and His sacrifice, the </w:t>
      </w:r>
      <w:r w:rsidRPr="00544DB8">
        <w:rPr>
          <w:rFonts w:eastAsia="Times New Roman"/>
          <w:i/>
          <w:iCs/>
        </w:rPr>
        <w:t xml:space="preserve">union </w:t>
      </w:r>
      <w:r w:rsidRPr="00544DB8">
        <w:rPr>
          <w:rFonts w:eastAsia="Times New Roman"/>
        </w:rPr>
        <w:t>with Christ and each other is seen in the physical consumption of the bread and the “fruit of the vine” during the supper.</w:t>
      </w:r>
    </w:p>
    <w:p w:rsidR="00544DB8" w:rsidRPr="00544DB8" w:rsidRDefault="00544DB8" w:rsidP="00544DB8">
      <w:pPr>
        <w:shd w:val="clear" w:color="auto" w:fill="FFFFFF"/>
        <w:ind w:left="720"/>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rPr>
        <w:t xml:space="preserve">4) To </w:t>
      </w:r>
      <w:r w:rsidRPr="00544DB8">
        <w:rPr>
          <w:rFonts w:eastAsia="Times New Roman"/>
          <w:i/>
          <w:iCs/>
        </w:rPr>
        <w:t xml:space="preserve">reinforce </w:t>
      </w:r>
      <w:r w:rsidRPr="00544DB8">
        <w:rPr>
          <w:rFonts w:eastAsia="Times New Roman"/>
        </w:rPr>
        <w:t xml:space="preserve">the </w:t>
      </w:r>
      <w:r w:rsidRPr="00544DB8">
        <w:rPr>
          <w:rFonts w:eastAsia="Times New Roman"/>
          <w:i/>
          <w:iCs/>
        </w:rPr>
        <w:t>belief that Christ will return</w:t>
      </w:r>
      <w:r w:rsidRPr="00544DB8">
        <w:rPr>
          <w:rFonts w:eastAsia="Times New Roman"/>
        </w:rPr>
        <w:t>.</w:t>
      </w:r>
    </w:p>
    <w:p w:rsidR="00544DB8" w:rsidRPr="00544DB8" w:rsidRDefault="00544DB8" w:rsidP="00544DB8">
      <w:pPr>
        <w:shd w:val="clear" w:color="auto" w:fill="FFFFFF"/>
        <w:ind w:left="720"/>
        <w:rPr>
          <w:rFonts w:eastAsia="Times New Roman"/>
        </w:rPr>
      </w:pPr>
    </w:p>
    <w:p w:rsidR="00544DB8" w:rsidRPr="00544DB8" w:rsidRDefault="00544DB8" w:rsidP="00544DB8">
      <w:pPr>
        <w:shd w:val="clear" w:color="auto" w:fill="FFFFFF"/>
        <w:ind w:left="720"/>
        <w:rPr>
          <w:rFonts w:eastAsia="Times New Roman"/>
        </w:rPr>
      </w:pPr>
      <w:r w:rsidRPr="00544DB8">
        <w:rPr>
          <w:rFonts w:eastAsia="Times New Roman"/>
        </w:rPr>
        <w:t xml:space="preserve">Paul specifically states that the </w:t>
      </w:r>
      <w:r w:rsidRPr="00544DB8">
        <w:rPr>
          <w:rFonts w:eastAsia="Times New Roman"/>
          <w:i/>
          <w:iCs/>
        </w:rPr>
        <w:t>Lord’s Supper</w:t>
      </w:r>
      <w:r w:rsidRPr="00544DB8">
        <w:rPr>
          <w:rFonts w:eastAsia="Times New Roman"/>
        </w:rPr>
        <w:t xml:space="preserve"> was to proclaim the death of Christ “until He comes,” a reminder to the Christians that Christ would return to them at the Rapture (</w:t>
      </w:r>
      <w:hyperlink r:id="rId18" w:history="1">
        <w:r w:rsidRPr="00544DB8">
          <w:rPr>
            <w:rFonts w:eastAsia="Times New Roman"/>
            <w:color w:val="0062B5"/>
            <w:u w:val="single"/>
          </w:rPr>
          <w:t>1 Corinthians 15:51-55</w:t>
        </w:r>
      </w:hyperlink>
      <w:r w:rsidRPr="00544DB8">
        <w:rPr>
          <w:rFonts w:eastAsia="Times New Roman"/>
        </w:rPr>
        <w:t xml:space="preserve">; </w:t>
      </w:r>
      <w:hyperlink r:id="rId19" w:history="1">
        <w:r w:rsidRPr="00544DB8">
          <w:rPr>
            <w:rFonts w:eastAsia="Times New Roman"/>
            <w:color w:val="0062B5"/>
            <w:u w:val="single"/>
          </w:rPr>
          <w:t>1 Thessalonians 4:13-18</w:t>
        </w:r>
      </w:hyperlink>
      <w:r w:rsidRPr="00544DB8">
        <w:rPr>
          <w:rFonts w:eastAsia="Times New Roman"/>
        </w:rPr>
        <w:t>); and, possibly, a reminder to the “lost” that Christ would once again return to this world to rule and to execute His judgment (</w:t>
      </w:r>
      <w:hyperlink r:id="rId20" w:history="1">
        <w:r w:rsidRPr="00544DB8">
          <w:rPr>
            <w:rFonts w:eastAsia="Times New Roman"/>
            <w:color w:val="0062B5"/>
            <w:u w:val="single"/>
          </w:rPr>
          <w:t>Revelation 19:11-20:15</w:t>
        </w:r>
      </w:hyperlink>
      <w:r w:rsidRPr="00544DB8">
        <w:rPr>
          <w:rFonts w:eastAsia="Times New Roman"/>
        </w:rPr>
        <w:t>)—both doctrines clear and emphatic in Scripture.</w:t>
      </w:r>
    </w:p>
    <w:p w:rsidR="00544DB8" w:rsidRPr="00544DB8" w:rsidRDefault="00544DB8" w:rsidP="00544DB8">
      <w:pPr>
        <w:shd w:val="clear" w:color="auto" w:fill="FFFFFF"/>
        <w:rPr>
          <w:rFonts w:eastAsia="Times New Roman"/>
        </w:rPr>
      </w:pPr>
    </w:p>
    <w:p w:rsidR="00544DB8" w:rsidRPr="00544DB8" w:rsidRDefault="00544DB8" w:rsidP="00544DB8">
      <w:pPr>
        <w:shd w:val="clear" w:color="auto" w:fill="FFFFFF"/>
        <w:rPr>
          <w:rFonts w:eastAsia="Times New Roman"/>
        </w:rPr>
      </w:pPr>
      <w:r w:rsidRPr="00544DB8">
        <w:rPr>
          <w:rFonts w:eastAsia="Times New Roman"/>
        </w:rPr>
        <w:t xml:space="preserve">How often does Scripture require the local church to perform the sacrament of the </w:t>
      </w:r>
      <w:r w:rsidRPr="00544DB8">
        <w:rPr>
          <w:rFonts w:eastAsia="Times New Roman"/>
          <w:i/>
          <w:iCs/>
        </w:rPr>
        <w:t>Lord’s Supper</w:t>
      </w:r>
      <w:r w:rsidRPr="00544DB8">
        <w:rPr>
          <w:rFonts w:eastAsia="Times New Roman"/>
        </w:rPr>
        <w:t xml:space="preserve">?  There is no specific time frame mentioned, either by Christ or any of the Apostles.  It only says “for as often as” you do it, it should be done for the correct reasons and in the proper frame of mind (attitude).  It may be assumed that the frequency of it may be determined by the local body of believers (church).  There are Christians who prefer to execute it daily, some who observe it weekly or monthly, and there are those who do it quarterly or less frequently.  It is not how often one participates in it; it is </w:t>
      </w:r>
      <w:r w:rsidRPr="00544DB8">
        <w:rPr>
          <w:rFonts w:eastAsia="Times New Roman"/>
          <w:i/>
          <w:iCs/>
        </w:rPr>
        <w:t xml:space="preserve">how </w:t>
      </w:r>
      <w:r w:rsidRPr="00544DB8">
        <w:rPr>
          <w:rFonts w:eastAsia="Times New Roman"/>
        </w:rPr>
        <w:t>one participates in it that is important.</w:t>
      </w:r>
      <w:bookmarkStart w:id="0" w:name="_GoBack"/>
      <w:bookmarkEnd w:id="0"/>
    </w:p>
    <w:sectPr w:rsidR="00544DB8" w:rsidRPr="00544DB8" w:rsidSect="003522F7">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F4571"/>
    <w:multiLevelType w:val="multilevel"/>
    <w:tmpl w:val="708898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C20F86"/>
    <w:multiLevelType w:val="multilevel"/>
    <w:tmpl w:val="8FBA4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6B6692"/>
    <w:multiLevelType w:val="multilevel"/>
    <w:tmpl w:val="8C46F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DE23DE"/>
    <w:multiLevelType w:val="multilevel"/>
    <w:tmpl w:val="6E86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F7"/>
    <w:rsid w:val="003522F7"/>
    <w:rsid w:val="00544DB8"/>
    <w:rsid w:val="00774C51"/>
    <w:rsid w:val="00B51BB6"/>
    <w:rsid w:val="00C83782"/>
    <w:rsid w:val="00D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BD75E-7F2C-44B1-9124-667F7AF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0911">
      <w:bodyDiv w:val="1"/>
      <w:marLeft w:val="0"/>
      <w:marRight w:val="0"/>
      <w:marTop w:val="0"/>
      <w:marBottom w:val="0"/>
      <w:divBdr>
        <w:top w:val="none" w:sz="0" w:space="0" w:color="auto"/>
        <w:left w:val="none" w:sz="0" w:space="0" w:color="auto"/>
        <w:bottom w:val="none" w:sz="0" w:space="0" w:color="auto"/>
        <w:right w:val="none" w:sz="0" w:space="0" w:color="auto"/>
      </w:divBdr>
    </w:div>
    <w:div w:id="1327317606">
      <w:bodyDiv w:val="1"/>
      <w:marLeft w:val="0"/>
      <w:marRight w:val="0"/>
      <w:marTop w:val="0"/>
      <w:marBottom w:val="0"/>
      <w:divBdr>
        <w:top w:val="none" w:sz="0" w:space="0" w:color="auto"/>
        <w:left w:val="none" w:sz="0" w:space="0" w:color="auto"/>
        <w:bottom w:val="none" w:sz="0" w:space="0" w:color="auto"/>
        <w:right w:val="none" w:sz="0" w:space="0" w:color="auto"/>
      </w:divBdr>
      <w:divsChild>
        <w:div w:id="1364475562">
          <w:marLeft w:val="750"/>
          <w:marRight w:val="0"/>
          <w:marTop w:val="0"/>
          <w:marBottom w:val="0"/>
          <w:divBdr>
            <w:top w:val="none" w:sz="0" w:space="0" w:color="auto"/>
            <w:left w:val="none" w:sz="0" w:space="0" w:color="auto"/>
            <w:bottom w:val="none" w:sz="0" w:space="0" w:color="auto"/>
            <w:right w:val="none" w:sz="0" w:space="0" w:color="auto"/>
          </w:divBdr>
          <w:divsChild>
            <w:div w:id="1135416070">
              <w:marLeft w:val="0"/>
              <w:marRight w:val="0"/>
              <w:marTop w:val="0"/>
              <w:marBottom w:val="0"/>
              <w:divBdr>
                <w:top w:val="none" w:sz="0" w:space="0" w:color="auto"/>
                <w:left w:val="none" w:sz="0" w:space="0" w:color="auto"/>
                <w:bottom w:val="none" w:sz="0" w:space="0" w:color="auto"/>
                <w:right w:val="none" w:sz="0" w:space="0" w:color="auto"/>
              </w:divBdr>
              <w:divsChild>
                <w:div w:id="1179004546">
                  <w:marLeft w:val="0"/>
                  <w:marRight w:val="0"/>
                  <w:marTop w:val="0"/>
                  <w:marBottom w:val="0"/>
                  <w:divBdr>
                    <w:top w:val="none" w:sz="0" w:space="0" w:color="auto"/>
                    <w:left w:val="none" w:sz="0" w:space="0" w:color="auto"/>
                    <w:bottom w:val="none" w:sz="0" w:space="0" w:color="auto"/>
                    <w:right w:val="none" w:sz="0" w:space="0" w:color="auto"/>
                  </w:divBdr>
                </w:div>
                <w:div w:id="14273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1125">
          <w:marLeft w:val="750"/>
          <w:marRight w:val="0"/>
          <w:marTop w:val="0"/>
          <w:marBottom w:val="90"/>
          <w:divBdr>
            <w:top w:val="none" w:sz="0" w:space="0" w:color="auto"/>
            <w:left w:val="none" w:sz="0" w:space="0" w:color="auto"/>
            <w:bottom w:val="none" w:sz="0" w:space="0" w:color="auto"/>
            <w:right w:val="none" w:sz="0" w:space="0" w:color="auto"/>
          </w:divBdr>
          <w:divsChild>
            <w:div w:id="1901288046">
              <w:marLeft w:val="0"/>
              <w:marRight w:val="0"/>
              <w:marTop w:val="0"/>
              <w:marBottom w:val="0"/>
              <w:divBdr>
                <w:top w:val="none" w:sz="0" w:space="0" w:color="auto"/>
                <w:left w:val="none" w:sz="0" w:space="0" w:color="auto"/>
                <w:bottom w:val="none" w:sz="0" w:space="0" w:color="auto"/>
                <w:right w:val="none" w:sz="0" w:space="0" w:color="auto"/>
              </w:divBdr>
              <w:divsChild>
                <w:div w:id="243414865">
                  <w:marLeft w:val="0"/>
                  <w:marRight w:val="0"/>
                  <w:marTop w:val="0"/>
                  <w:marBottom w:val="0"/>
                  <w:divBdr>
                    <w:top w:val="none" w:sz="0" w:space="0" w:color="auto"/>
                    <w:left w:val="none" w:sz="0" w:space="0" w:color="auto"/>
                    <w:bottom w:val="none" w:sz="0" w:space="0" w:color="auto"/>
                    <w:right w:val="none" w:sz="0" w:space="0" w:color="auto"/>
                  </w:divBdr>
                </w:div>
                <w:div w:id="980621818">
                  <w:marLeft w:val="0"/>
                  <w:marRight w:val="0"/>
                  <w:marTop w:val="0"/>
                  <w:marBottom w:val="0"/>
                  <w:divBdr>
                    <w:top w:val="none" w:sz="0" w:space="0" w:color="auto"/>
                    <w:left w:val="none" w:sz="0" w:space="0" w:color="auto"/>
                    <w:bottom w:val="none" w:sz="0" w:space="0" w:color="auto"/>
                    <w:right w:val="none" w:sz="0" w:space="0" w:color="auto"/>
                  </w:divBdr>
                </w:div>
                <w:div w:id="735012670">
                  <w:marLeft w:val="0"/>
                  <w:marRight w:val="0"/>
                  <w:marTop w:val="0"/>
                  <w:marBottom w:val="0"/>
                  <w:divBdr>
                    <w:top w:val="none" w:sz="0" w:space="0" w:color="auto"/>
                    <w:left w:val="none" w:sz="0" w:space="0" w:color="auto"/>
                    <w:bottom w:val="none" w:sz="0" w:space="0" w:color="auto"/>
                    <w:right w:val="none" w:sz="0" w:space="0" w:color="auto"/>
                  </w:divBdr>
                </w:div>
                <w:div w:id="1612738273">
                  <w:marLeft w:val="0"/>
                  <w:marRight w:val="0"/>
                  <w:marTop w:val="0"/>
                  <w:marBottom w:val="0"/>
                  <w:divBdr>
                    <w:top w:val="none" w:sz="0" w:space="0" w:color="auto"/>
                    <w:left w:val="none" w:sz="0" w:space="0" w:color="auto"/>
                    <w:bottom w:val="none" w:sz="0" w:space="0" w:color="auto"/>
                    <w:right w:val="none" w:sz="0" w:space="0" w:color="auto"/>
                  </w:divBdr>
                </w:div>
                <w:div w:id="162477272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8024776">
                      <w:marLeft w:val="0"/>
                      <w:marRight w:val="0"/>
                      <w:marTop w:val="0"/>
                      <w:marBottom w:val="0"/>
                      <w:divBdr>
                        <w:top w:val="none" w:sz="0" w:space="0" w:color="auto"/>
                        <w:left w:val="none" w:sz="0" w:space="0" w:color="auto"/>
                        <w:bottom w:val="none" w:sz="0" w:space="0" w:color="auto"/>
                        <w:right w:val="none" w:sz="0" w:space="0" w:color="auto"/>
                      </w:divBdr>
                    </w:div>
                  </w:divsChild>
                </w:div>
                <w:div w:id="1659768241">
                  <w:marLeft w:val="0"/>
                  <w:marRight w:val="0"/>
                  <w:marTop w:val="0"/>
                  <w:marBottom w:val="0"/>
                  <w:divBdr>
                    <w:top w:val="none" w:sz="0" w:space="0" w:color="auto"/>
                    <w:left w:val="none" w:sz="0" w:space="0" w:color="auto"/>
                    <w:bottom w:val="none" w:sz="0" w:space="0" w:color="auto"/>
                    <w:right w:val="none" w:sz="0" w:space="0" w:color="auto"/>
                  </w:divBdr>
                </w:div>
                <w:div w:id="1246650846">
                  <w:marLeft w:val="0"/>
                  <w:marRight w:val="0"/>
                  <w:marTop w:val="0"/>
                  <w:marBottom w:val="0"/>
                  <w:divBdr>
                    <w:top w:val="none" w:sz="0" w:space="0" w:color="auto"/>
                    <w:left w:val="none" w:sz="0" w:space="0" w:color="auto"/>
                    <w:bottom w:val="none" w:sz="0" w:space="0" w:color="auto"/>
                    <w:right w:val="none" w:sz="0" w:space="0" w:color="auto"/>
                  </w:divBdr>
                </w:div>
                <w:div w:id="491482701">
                  <w:marLeft w:val="0"/>
                  <w:marRight w:val="0"/>
                  <w:marTop w:val="0"/>
                  <w:marBottom w:val="0"/>
                  <w:divBdr>
                    <w:top w:val="none" w:sz="0" w:space="0" w:color="auto"/>
                    <w:left w:val="none" w:sz="0" w:space="0" w:color="auto"/>
                    <w:bottom w:val="none" w:sz="0" w:space="0" w:color="auto"/>
                    <w:right w:val="none" w:sz="0" w:space="0" w:color="auto"/>
                  </w:divBdr>
                </w:div>
                <w:div w:id="969164763">
                  <w:marLeft w:val="0"/>
                  <w:marRight w:val="0"/>
                  <w:marTop w:val="0"/>
                  <w:marBottom w:val="0"/>
                  <w:divBdr>
                    <w:top w:val="none" w:sz="0" w:space="0" w:color="auto"/>
                    <w:left w:val="none" w:sz="0" w:space="0" w:color="auto"/>
                    <w:bottom w:val="none" w:sz="0" w:space="0" w:color="auto"/>
                    <w:right w:val="none" w:sz="0" w:space="0" w:color="auto"/>
                  </w:divBdr>
                </w:div>
                <w:div w:id="802887753">
                  <w:marLeft w:val="0"/>
                  <w:marRight w:val="0"/>
                  <w:marTop w:val="0"/>
                  <w:marBottom w:val="0"/>
                  <w:divBdr>
                    <w:top w:val="none" w:sz="0" w:space="0" w:color="auto"/>
                    <w:left w:val="none" w:sz="0" w:space="0" w:color="auto"/>
                    <w:bottom w:val="none" w:sz="0" w:space="0" w:color="auto"/>
                    <w:right w:val="none" w:sz="0" w:space="0" w:color="auto"/>
                  </w:divBdr>
                </w:div>
                <w:div w:id="285741393">
                  <w:blockQuote w:val="1"/>
                  <w:marLeft w:val="600"/>
                  <w:marRight w:val="0"/>
                  <w:marTop w:val="0"/>
                  <w:marBottom w:val="0"/>
                  <w:divBdr>
                    <w:top w:val="none" w:sz="0" w:space="0" w:color="auto"/>
                    <w:left w:val="none" w:sz="0" w:space="0" w:color="auto"/>
                    <w:bottom w:val="none" w:sz="0" w:space="0" w:color="auto"/>
                    <w:right w:val="none" w:sz="0" w:space="0" w:color="auto"/>
                  </w:divBdr>
                  <w:divsChild>
                    <w:div w:id="637104853">
                      <w:marLeft w:val="0"/>
                      <w:marRight w:val="0"/>
                      <w:marTop w:val="0"/>
                      <w:marBottom w:val="0"/>
                      <w:divBdr>
                        <w:top w:val="none" w:sz="0" w:space="0" w:color="auto"/>
                        <w:left w:val="none" w:sz="0" w:space="0" w:color="auto"/>
                        <w:bottom w:val="none" w:sz="0" w:space="0" w:color="auto"/>
                        <w:right w:val="none" w:sz="0" w:space="0" w:color="auto"/>
                      </w:divBdr>
                    </w:div>
                  </w:divsChild>
                </w:div>
                <w:div w:id="1530021098">
                  <w:marLeft w:val="0"/>
                  <w:marRight w:val="0"/>
                  <w:marTop w:val="0"/>
                  <w:marBottom w:val="0"/>
                  <w:divBdr>
                    <w:top w:val="none" w:sz="0" w:space="0" w:color="auto"/>
                    <w:left w:val="none" w:sz="0" w:space="0" w:color="auto"/>
                    <w:bottom w:val="none" w:sz="0" w:space="0" w:color="auto"/>
                    <w:right w:val="none" w:sz="0" w:space="0" w:color="auto"/>
                  </w:divBdr>
                </w:div>
                <w:div w:id="1544059262">
                  <w:marLeft w:val="0"/>
                  <w:marRight w:val="0"/>
                  <w:marTop w:val="0"/>
                  <w:marBottom w:val="0"/>
                  <w:divBdr>
                    <w:top w:val="none" w:sz="0" w:space="0" w:color="auto"/>
                    <w:left w:val="none" w:sz="0" w:space="0" w:color="auto"/>
                    <w:bottom w:val="none" w:sz="0" w:space="0" w:color="auto"/>
                    <w:right w:val="none" w:sz="0" w:space="0" w:color="auto"/>
                  </w:divBdr>
                </w:div>
                <w:div w:id="167912717">
                  <w:marLeft w:val="0"/>
                  <w:marRight w:val="0"/>
                  <w:marTop w:val="0"/>
                  <w:marBottom w:val="0"/>
                  <w:divBdr>
                    <w:top w:val="none" w:sz="0" w:space="0" w:color="auto"/>
                    <w:left w:val="none" w:sz="0" w:space="0" w:color="auto"/>
                    <w:bottom w:val="none" w:sz="0" w:space="0" w:color="auto"/>
                    <w:right w:val="none" w:sz="0" w:space="0" w:color="auto"/>
                  </w:divBdr>
                </w:div>
                <w:div w:id="1809669368">
                  <w:blockQuote w:val="1"/>
                  <w:marLeft w:val="600"/>
                  <w:marRight w:val="0"/>
                  <w:marTop w:val="0"/>
                  <w:marBottom w:val="0"/>
                  <w:divBdr>
                    <w:top w:val="none" w:sz="0" w:space="0" w:color="auto"/>
                    <w:left w:val="none" w:sz="0" w:space="0" w:color="auto"/>
                    <w:bottom w:val="none" w:sz="0" w:space="0" w:color="auto"/>
                    <w:right w:val="none" w:sz="0" w:space="0" w:color="auto"/>
                  </w:divBdr>
                  <w:divsChild>
                    <w:div w:id="2045985889">
                      <w:marLeft w:val="0"/>
                      <w:marRight w:val="0"/>
                      <w:marTop w:val="0"/>
                      <w:marBottom w:val="0"/>
                      <w:divBdr>
                        <w:top w:val="none" w:sz="0" w:space="0" w:color="auto"/>
                        <w:left w:val="none" w:sz="0" w:space="0" w:color="auto"/>
                        <w:bottom w:val="none" w:sz="0" w:space="0" w:color="auto"/>
                        <w:right w:val="none" w:sz="0" w:space="0" w:color="auto"/>
                      </w:divBdr>
                    </w:div>
                  </w:divsChild>
                </w:div>
                <w:div w:id="703796101">
                  <w:marLeft w:val="0"/>
                  <w:marRight w:val="0"/>
                  <w:marTop w:val="0"/>
                  <w:marBottom w:val="0"/>
                  <w:divBdr>
                    <w:top w:val="none" w:sz="0" w:space="0" w:color="auto"/>
                    <w:left w:val="none" w:sz="0" w:space="0" w:color="auto"/>
                    <w:bottom w:val="none" w:sz="0" w:space="0" w:color="auto"/>
                    <w:right w:val="none" w:sz="0" w:space="0" w:color="auto"/>
                  </w:divBdr>
                </w:div>
                <w:div w:id="124584383">
                  <w:blockQuote w:val="1"/>
                  <w:marLeft w:val="600"/>
                  <w:marRight w:val="0"/>
                  <w:marTop w:val="0"/>
                  <w:marBottom w:val="0"/>
                  <w:divBdr>
                    <w:top w:val="none" w:sz="0" w:space="0" w:color="auto"/>
                    <w:left w:val="none" w:sz="0" w:space="0" w:color="auto"/>
                    <w:bottom w:val="none" w:sz="0" w:space="0" w:color="auto"/>
                    <w:right w:val="none" w:sz="0" w:space="0" w:color="auto"/>
                  </w:divBdr>
                  <w:divsChild>
                    <w:div w:id="1912812374">
                      <w:marLeft w:val="0"/>
                      <w:marRight w:val="0"/>
                      <w:marTop w:val="0"/>
                      <w:marBottom w:val="0"/>
                      <w:divBdr>
                        <w:top w:val="none" w:sz="0" w:space="0" w:color="auto"/>
                        <w:left w:val="none" w:sz="0" w:space="0" w:color="auto"/>
                        <w:bottom w:val="none" w:sz="0" w:space="0" w:color="auto"/>
                        <w:right w:val="none" w:sz="0" w:space="0" w:color="auto"/>
                      </w:divBdr>
                    </w:div>
                  </w:divsChild>
                </w:div>
                <w:div w:id="36126005">
                  <w:marLeft w:val="0"/>
                  <w:marRight w:val="0"/>
                  <w:marTop w:val="0"/>
                  <w:marBottom w:val="0"/>
                  <w:divBdr>
                    <w:top w:val="none" w:sz="0" w:space="0" w:color="auto"/>
                    <w:left w:val="none" w:sz="0" w:space="0" w:color="auto"/>
                    <w:bottom w:val="none" w:sz="0" w:space="0" w:color="auto"/>
                    <w:right w:val="none" w:sz="0" w:space="0" w:color="auto"/>
                  </w:divBdr>
                </w:div>
                <w:div w:id="1403257752">
                  <w:blockQuote w:val="1"/>
                  <w:marLeft w:val="600"/>
                  <w:marRight w:val="0"/>
                  <w:marTop w:val="0"/>
                  <w:marBottom w:val="0"/>
                  <w:divBdr>
                    <w:top w:val="none" w:sz="0" w:space="0" w:color="auto"/>
                    <w:left w:val="none" w:sz="0" w:space="0" w:color="auto"/>
                    <w:bottom w:val="none" w:sz="0" w:space="0" w:color="auto"/>
                    <w:right w:val="none" w:sz="0" w:space="0" w:color="auto"/>
                  </w:divBdr>
                  <w:divsChild>
                    <w:div w:id="953483706">
                      <w:marLeft w:val="0"/>
                      <w:marRight w:val="0"/>
                      <w:marTop w:val="0"/>
                      <w:marBottom w:val="0"/>
                      <w:divBdr>
                        <w:top w:val="none" w:sz="0" w:space="0" w:color="auto"/>
                        <w:left w:val="none" w:sz="0" w:space="0" w:color="auto"/>
                        <w:bottom w:val="none" w:sz="0" w:space="0" w:color="auto"/>
                        <w:right w:val="none" w:sz="0" w:space="0" w:color="auto"/>
                      </w:divBdr>
                    </w:div>
                  </w:divsChild>
                </w:div>
                <w:div w:id="1686439818">
                  <w:marLeft w:val="0"/>
                  <w:marRight w:val="0"/>
                  <w:marTop w:val="0"/>
                  <w:marBottom w:val="0"/>
                  <w:divBdr>
                    <w:top w:val="none" w:sz="0" w:space="0" w:color="auto"/>
                    <w:left w:val="none" w:sz="0" w:space="0" w:color="auto"/>
                    <w:bottom w:val="none" w:sz="0" w:space="0" w:color="auto"/>
                    <w:right w:val="none" w:sz="0" w:space="0" w:color="auto"/>
                  </w:divBdr>
                </w:div>
                <w:div w:id="13358361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0945127">
                      <w:marLeft w:val="0"/>
                      <w:marRight w:val="0"/>
                      <w:marTop w:val="0"/>
                      <w:marBottom w:val="0"/>
                      <w:divBdr>
                        <w:top w:val="none" w:sz="0" w:space="0" w:color="auto"/>
                        <w:left w:val="none" w:sz="0" w:space="0" w:color="auto"/>
                        <w:bottom w:val="none" w:sz="0" w:space="0" w:color="auto"/>
                        <w:right w:val="none" w:sz="0" w:space="0" w:color="auto"/>
                      </w:divBdr>
                    </w:div>
                  </w:divsChild>
                </w:div>
                <w:div w:id="1278222019">
                  <w:marLeft w:val="0"/>
                  <w:marRight w:val="0"/>
                  <w:marTop w:val="0"/>
                  <w:marBottom w:val="0"/>
                  <w:divBdr>
                    <w:top w:val="none" w:sz="0" w:space="0" w:color="auto"/>
                    <w:left w:val="none" w:sz="0" w:space="0" w:color="auto"/>
                    <w:bottom w:val="none" w:sz="0" w:space="0" w:color="auto"/>
                    <w:right w:val="none" w:sz="0" w:space="0" w:color="auto"/>
                  </w:divBdr>
                </w:div>
                <w:div w:id="1994064870">
                  <w:blockQuote w:val="1"/>
                  <w:marLeft w:val="600"/>
                  <w:marRight w:val="0"/>
                  <w:marTop w:val="0"/>
                  <w:marBottom w:val="0"/>
                  <w:divBdr>
                    <w:top w:val="none" w:sz="0" w:space="0" w:color="auto"/>
                    <w:left w:val="none" w:sz="0" w:space="0" w:color="auto"/>
                    <w:bottom w:val="none" w:sz="0" w:space="0" w:color="auto"/>
                    <w:right w:val="none" w:sz="0" w:space="0" w:color="auto"/>
                  </w:divBdr>
                  <w:divsChild>
                    <w:div w:id="843521199">
                      <w:marLeft w:val="0"/>
                      <w:marRight w:val="0"/>
                      <w:marTop w:val="0"/>
                      <w:marBottom w:val="0"/>
                      <w:divBdr>
                        <w:top w:val="none" w:sz="0" w:space="0" w:color="auto"/>
                        <w:left w:val="none" w:sz="0" w:space="0" w:color="auto"/>
                        <w:bottom w:val="none" w:sz="0" w:space="0" w:color="auto"/>
                        <w:right w:val="none" w:sz="0" w:space="0" w:color="auto"/>
                      </w:divBdr>
                    </w:div>
                  </w:divsChild>
                </w:div>
                <w:div w:id="697780441">
                  <w:marLeft w:val="0"/>
                  <w:marRight w:val="0"/>
                  <w:marTop w:val="0"/>
                  <w:marBottom w:val="0"/>
                  <w:divBdr>
                    <w:top w:val="none" w:sz="0" w:space="0" w:color="auto"/>
                    <w:left w:val="none" w:sz="0" w:space="0" w:color="auto"/>
                    <w:bottom w:val="none" w:sz="0" w:space="0" w:color="auto"/>
                    <w:right w:val="none" w:sz="0" w:space="0" w:color="auto"/>
                  </w:divBdr>
                </w:div>
                <w:div w:id="607733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025643225">
                      <w:marLeft w:val="0"/>
                      <w:marRight w:val="0"/>
                      <w:marTop w:val="0"/>
                      <w:marBottom w:val="0"/>
                      <w:divBdr>
                        <w:top w:val="none" w:sz="0" w:space="0" w:color="auto"/>
                        <w:left w:val="none" w:sz="0" w:space="0" w:color="auto"/>
                        <w:bottom w:val="none" w:sz="0" w:space="0" w:color="auto"/>
                        <w:right w:val="none" w:sz="0" w:space="0" w:color="auto"/>
                      </w:divBdr>
                    </w:div>
                  </w:divsChild>
                </w:div>
                <w:div w:id="58596233">
                  <w:marLeft w:val="0"/>
                  <w:marRight w:val="0"/>
                  <w:marTop w:val="0"/>
                  <w:marBottom w:val="0"/>
                  <w:divBdr>
                    <w:top w:val="none" w:sz="0" w:space="0" w:color="auto"/>
                    <w:left w:val="none" w:sz="0" w:space="0" w:color="auto"/>
                    <w:bottom w:val="none" w:sz="0" w:space="0" w:color="auto"/>
                    <w:right w:val="none" w:sz="0" w:space="0" w:color="auto"/>
                  </w:divBdr>
                </w:div>
                <w:div w:id="1829437471">
                  <w:blockQuote w:val="1"/>
                  <w:marLeft w:val="600"/>
                  <w:marRight w:val="0"/>
                  <w:marTop w:val="0"/>
                  <w:marBottom w:val="0"/>
                  <w:divBdr>
                    <w:top w:val="none" w:sz="0" w:space="0" w:color="auto"/>
                    <w:left w:val="none" w:sz="0" w:space="0" w:color="auto"/>
                    <w:bottom w:val="none" w:sz="0" w:space="0" w:color="auto"/>
                    <w:right w:val="none" w:sz="0" w:space="0" w:color="auto"/>
                  </w:divBdr>
                  <w:divsChild>
                    <w:div w:id="1766808091">
                      <w:marLeft w:val="0"/>
                      <w:marRight w:val="0"/>
                      <w:marTop w:val="0"/>
                      <w:marBottom w:val="0"/>
                      <w:divBdr>
                        <w:top w:val="none" w:sz="0" w:space="0" w:color="auto"/>
                        <w:left w:val="none" w:sz="0" w:space="0" w:color="auto"/>
                        <w:bottom w:val="none" w:sz="0" w:space="0" w:color="auto"/>
                        <w:right w:val="none" w:sz="0" w:space="0" w:color="auto"/>
                      </w:divBdr>
                    </w:div>
                  </w:divsChild>
                </w:div>
                <w:div w:id="713503392">
                  <w:marLeft w:val="0"/>
                  <w:marRight w:val="0"/>
                  <w:marTop w:val="0"/>
                  <w:marBottom w:val="0"/>
                  <w:divBdr>
                    <w:top w:val="none" w:sz="0" w:space="0" w:color="auto"/>
                    <w:left w:val="none" w:sz="0" w:space="0" w:color="auto"/>
                    <w:bottom w:val="none" w:sz="0" w:space="0" w:color="auto"/>
                    <w:right w:val="none" w:sz="0" w:space="0" w:color="auto"/>
                  </w:divBdr>
                </w:div>
                <w:div w:id="74669698">
                  <w:blockQuote w:val="1"/>
                  <w:marLeft w:val="600"/>
                  <w:marRight w:val="0"/>
                  <w:marTop w:val="0"/>
                  <w:marBottom w:val="0"/>
                  <w:divBdr>
                    <w:top w:val="none" w:sz="0" w:space="0" w:color="auto"/>
                    <w:left w:val="none" w:sz="0" w:space="0" w:color="auto"/>
                    <w:bottom w:val="none" w:sz="0" w:space="0" w:color="auto"/>
                    <w:right w:val="none" w:sz="0" w:space="0" w:color="auto"/>
                  </w:divBdr>
                  <w:divsChild>
                    <w:div w:id="928006315">
                      <w:marLeft w:val="0"/>
                      <w:marRight w:val="0"/>
                      <w:marTop w:val="0"/>
                      <w:marBottom w:val="0"/>
                      <w:divBdr>
                        <w:top w:val="none" w:sz="0" w:space="0" w:color="auto"/>
                        <w:left w:val="none" w:sz="0" w:space="0" w:color="auto"/>
                        <w:bottom w:val="none" w:sz="0" w:space="0" w:color="auto"/>
                        <w:right w:val="none" w:sz="0" w:space="0" w:color="auto"/>
                      </w:divBdr>
                    </w:div>
                  </w:divsChild>
                </w:div>
                <w:div w:id="1325664092">
                  <w:marLeft w:val="0"/>
                  <w:marRight w:val="0"/>
                  <w:marTop w:val="0"/>
                  <w:marBottom w:val="0"/>
                  <w:divBdr>
                    <w:top w:val="none" w:sz="0" w:space="0" w:color="auto"/>
                    <w:left w:val="none" w:sz="0" w:space="0" w:color="auto"/>
                    <w:bottom w:val="none" w:sz="0" w:space="0" w:color="auto"/>
                    <w:right w:val="none" w:sz="0" w:space="0" w:color="auto"/>
                  </w:divBdr>
                </w:div>
                <w:div w:id="1065956126">
                  <w:blockQuote w:val="1"/>
                  <w:marLeft w:val="600"/>
                  <w:marRight w:val="0"/>
                  <w:marTop w:val="0"/>
                  <w:marBottom w:val="0"/>
                  <w:divBdr>
                    <w:top w:val="none" w:sz="0" w:space="0" w:color="auto"/>
                    <w:left w:val="none" w:sz="0" w:space="0" w:color="auto"/>
                    <w:bottom w:val="none" w:sz="0" w:space="0" w:color="auto"/>
                    <w:right w:val="none" w:sz="0" w:space="0" w:color="auto"/>
                  </w:divBdr>
                  <w:divsChild>
                    <w:div w:id="1439065947">
                      <w:marLeft w:val="0"/>
                      <w:marRight w:val="0"/>
                      <w:marTop w:val="0"/>
                      <w:marBottom w:val="0"/>
                      <w:divBdr>
                        <w:top w:val="none" w:sz="0" w:space="0" w:color="auto"/>
                        <w:left w:val="none" w:sz="0" w:space="0" w:color="auto"/>
                        <w:bottom w:val="none" w:sz="0" w:space="0" w:color="auto"/>
                        <w:right w:val="none" w:sz="0" w:space="0" w:color="auto"/>
                      </w:divBdr>
                    </w:div>
                  </w:divsChild>
                </w:div>
                <w:div w:id="479275456">
                  <w:marLeft w:val="0"/>
                  <w:marRight w:val="0"/>
                  <w:marTop w:val="0"/>
                  <w:marBottom w:val="0"/>
                  <w:divBdr>
                    <w:top w:val="none" w:sz="0" w:space="0" w:color="auto"/>
                    <w:left w:val="none" w:sz="0" w:space="0" w:color="auto"/>
                    <w:bottom w:val="none" w:sz="0" w:space="0" w:color="auto"/>
                    <w:right w:val="none" w:sz="0" w:space="0" w:color="auto"/>
                  </w:divBdr>
                </w:div>
                <w:div w:id="771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Luke+22.14-20&amp;t=NKJV" TargetMode="External"/><Relationship Id="rId13" Type="http://schemas.openxmlformats.org/officeDocument/2006/relationships/hyperlink" Target="https://www.blueletterbible.org/search/preSearch.cfm?Criteria=1Corinthians+10.16-17&amp;t=NKJV" TargetMode="External"/><Relationship Id="rId18" Type="http://schemas.openxmlformats.org/officeDocument/2006/relationships/hyperlink" Target="https://www.blueletterbible.org/search/preSearch.cfm?Criteria=1Corinthians+15.51-55&amp;t=NKJ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lueletterbible.org/search/preSearch.cfm?Criteria=Mark+14.22-25&amp;t=NKJV" TargetMode="External"/><Relationship Id="rId12" Type="http://schemas.openxmlformats.org/officeDocument/2006/relationships/hyperlink" Target="https://www.blueletterbible.org/search/preSearch.cfm?Criteria=Matthew+26.29&amp;t=NKJV" TargetMode="External"/><Relationship Id="rId17" Type="http://schemas.openxmlformats.org/officeDocument/2006/relationships/hyperlink" Target="https://www.blueletterbible.org/search/preSearch.cfm?Criteria=1Corinthians+11&amp;t=NKJV" TargetMode="External"/><Relationship Id="rId2" Type="http://schemas.openxmlformats.org/officeDocument/2006/relationships/styles" Target="styles.xml"/><Relationship Id="rId16" Type="http://schemas.openxmlformats.org/officeDocument/2006/relationships/hyperlink" Target="https://www.blueletterbible.org/search/preSearch.cfm?Criteria=1Corinthians+10&amp;t=NKJV" TargetMode="External"/><Relationship Id="rId20" Type="http://schemas.openxmlformats.org/officeDocument/2006/relationships/hyperlink" Target="https://www.blueletterbible.org/search/preSearch.cfm?Criteria=Revelation+19.11-20.15&amp;t=NKJV" TargetMode="External"/><Relationship Id="rId1" Type="http://schemas.openxmlformats.org/officeDocument/2006/relationships/numbering" Target="numbering.xml"/><Relationship Id="rId6" Type="http://schemas.openxmlformats.org/officeDocument/2006/relationships/hyperlink" Target="https://www.blueletterbible.org/search/preSearch.cfm?Criteria=Matthew+26.26-29&amp;t=NKJV" TargetMode="External"/><Relationship Id="rId11" Type="http://schemas.openxmlformats.org/officeDocument/2006/relationships/hyperlink" Target="https://www.blueletterbible.org/search/preSearch.cfm?Criteria=Luke+14.15-24&amp;t=NKJV" TargetMode="External"/><Relationship Id="rId5" Type="http://schemas.openxmlformats.org/officeDocument/2006/relationships/hyperlink" Target="http://www.bibleone.net/" TargetMode="External"/><Relationship Id="rId15" Type="http://schemas.openxmlformats.org/officeDocument/2006/relationships/hyperlink" Target="https://www.blueletterbible.org/search/preSearch.cfm?Criteria=2Corinthians+5.21&amp;t=NKJV" TargetMode="External"/><Relationship Id="rId10" Type="http://schemas.openxmlformats.org/officeDocument/2006/relationships/hyperlink" Target="https://www.blueletterbible.org/search/preSearch.cfm?Criteria=Isaiah+25.6&amp;t=NKJV" TargetMode="External"/><Relationship Id="rId19" Type="http://schemas.openxmlformats.org/officeDocument/2006/relationships/hyperlink" Target="https://www.blueletterbible.org/search/preSearch.cfm?Criteria=1Thessalonians+4.13-18&amp;t=NKJV" TargetMode="External"/><Relationship Id="rId4" Type="http://schemas.openxmlformats.org/officeDocument/2006/relationships/webSettings" Target="webSettings.xml"/><Relationship Id="rId9" Type="http://schemas.openxmlformats.org/officeDocument/2006/relationships/hyperlink" Target="https://www.blueletterbible.org/search/preSearch.cfm?Criteria=Isaiah+51.9-16&amp;t=NKJV" TargetMode="External"/><Relationship Id="rId14" Type="http://schemas.openxmlformats.org/officeDocument/2006/relationships/hyperlink" Target="https://www.blueletterbible.org/search/preSearch.cfm?Criteria=1Corinthians+11.23-26&amp;t=NKJ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2021-07-09T17:07:00Z</dcterms:created>
  <dcterms:modified xsi:type="dcterms:W3CDTF">2021-07-09T19:25:00Z</dcterms:modified>
</cp:coreProperties>
</file>