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0D" w:rsidRPr="0019610D" w:rsidRDefault="0019610D" w:rsidP="0019610D">
      <w:pPr>
        <w:shd w:val="clear" w:color="auto" w:fill="FFFFFF"/>
        <w:rPr>
          <w:rFonts w:eastAsia="Times New Roman"/>
          <w:sz w:val="18"/>
          <w:szCs w:val="18"/>
        </w:rPr>
      </w:pPr>
      <w:r w:rsidRPr="0019610D">
        <w:rPr>
          <w:rFonts w:ascii="Arial Black" w:eastAsia="Times New Roman" w:hAnsi="Arial Black"/>
          <w:sz w:val="36"/>
          <w:szCs w:val="36"/>
        </w:rPr>
        <w:t>The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9610D">
        <w:rPr>
          <w:rFonts w:ascii="Arial Black" w:eastAsia="Times New Roman" w:hAnsi="Arial Black"/>
          <w:sz w:val="36"/>
          <w:szCs w:val="36"/>
        </w:rPr>
        <w:t>Outer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9610D">
        <w:rPr>
          <w:rFonts w:ascii="Arial Black" w:eastAsia="Times New Roman" w:hAnsi="Arial Black"/>
          <w:sz w:val="36"/>
          <w:szCs w:val="36"/>
        </w:rPr>
        <w:t>Darkness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It?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Therein?</w:t>
      </w:r>
    </w:p>
    <w:p w:rsid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19610D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19610D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19610D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19610D">
          <w:rPr>
            <w:rFonts w:ascii="Arial Black" w:eastAsia="Times New Roman" w:hAnsi="Arial Black"/>
            <w:color w:val="2F5496"/>
            <w:u w:val="single"/>
          </w:rPr>
          <w:t>Lamp</w:t>
        </w:r>
        <w:r>
          <w:rPr>
            <w:rFonts w:ascii="Arial Black" w:eastAsia="Times New Roman" w:hAnsi="Arial Black"/>
            <w:color w:val="2F5496"/>
            <w:u w:val="single"/>
          </w:rPr>
          <w:t xml:space="preserve"> </w:t>
        </w:r>
        <w:r w:rsidRPr="0019610D">
          <w:rPr>
            <w:rFonts w:ascii="Arial Black" w:eastAsia="Times New Roman" w:hAnsi="Arial Black"/>
            <w:color w:val="2F5496"/>
            <w:u w:val="single"/>
          </w:rPr>
          <w:t>Broadcast</w:t>
        </w:r>
      </w:hyperlink>
    </w:p>
    <w:p w:rsidR="0019610D" w:rsidRPr="0019610D" w:rsidRDefault="0019610D" w:rsidP="0019610D">
      <w:pPr>
        <w:shd w:val="clear" w:color="auto" w:fill="FFFFFF"/>
        <w:rPr>
          <w:rFonts w:eastAsia="Times New Roman"/>
          <w:b/>
          <w:color w:val="2F5496" w:themeColor="accent5" w:themeShade="BF"/>
        </w:rPr>
      </w:pPr>
      <w:r w:rsidRPr="0019610D">
        <w:rPr>
          <w:rFonts w:eastAsia="Times New Roman"/>
          <w:b/>
          <w:color w:val="2F5496" w:themeColor="accent5" w:themeShade="BF"/>
        </w:rPr>
        <w:t>~~~~~~~~~~~~~~~~~~~~~~~~~~~~~~~~~~~~~~~~~~~~~~~~~~~~~~~~~~~~~~~~~~~~~~~~~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5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8:12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6" w:history="1">
        <w:r w:rsidRPr="0019610D">
          <w:rPr>
            <w:rFonts w:eastAsia="Times New Roman"/>
            <w:color w:val="0062B5"/>
            <w:u w:val="single"/>
          </w:rPr>
          <w:t>22:13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" w:history="1">
        <w:r w:rsidRPr="0019610D">
          <w:rPr>
            <w:rFonts w:eastAsia="Times New Roman"/>
            <w:color w:val="0062B5"/>
            <w:u w:val="single"/>
          </w:rPr>
          <w:t>25:30</w:t>
        </w:r>
      </w:hyperlink>
      <w:r w:rsidRPr="0019610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Luke,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alludes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8:11-12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9" w:history="1">
        <w:r w:rsidRPr="0019610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13:28-29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does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words.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reduces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“without”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(ASV).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9610D">
        <w:rPr>
          <w:rFonts w:eastAsia="Times New Roman"/>
          <w:i/>
          <w:iCs/>
        </w:rPr>
        <w:t>ekballo</w:t>
      </w:r>
      <w:proofErr w:type="spellEnd"/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</w:t>
      </w:r>
      <w:r w:rsidRPr="0019610D">
        <w:rPr>
          <w:rFonts w:eastAsia="Times New Roman"/>
          <w:i/>
          <w:iCs/>
        </w:rPr>
        <w:t>lit</w:t>
      </w:r>
      <w:r w:rsidRPr="0019610D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‘into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outer,’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normally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translation,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‘into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darkness,’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‘into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outside’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definite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articles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noun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adjective,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pointing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outside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light</w:t>
      </w:r>
      <w:r w:rsidRPr="0019610D">
        <w:rPr>
          <w:rFonts w:eastAsia="Times New Roman"/>
        </w:rPr>
        <w:t>)].”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Luke’s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“without,”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outside.”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thoughts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Luke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locate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contiguous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region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outside</w:t>
      </w:r>
      <w:r w:rsidRPr="0019610D">
        <w:rPr>
          <w:rFonts w:eastAsia="Times New Roman"/>
        </w:rPr>
        <w:t>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light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illustrated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</w:t>
        </w:r>
      </w:hyperlink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chapter,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attendant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royal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wedding.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normally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night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lighted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banqueting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hall.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darkened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courtyard;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proximity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darkened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courtyard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lighted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banqueting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correspond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perfectly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rulership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therein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8:11-12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" w:history="1">
        <w:r w:rsidRPr="0019610D">
          <w:rPr>
            <w:rFonts w:eastAsia="Times New Roman"/>
            <w:color w:val="0062B5"/>
            <w:u w:val="single"/>
          </w:rPr>
          <w:t>25:14-30</w:t>
        </w:r>
      </w:hyperlink>
      <w:r w:rsidRPr="0019610D">
        <w:rPr>
          <w:rFonts w:eastAsia="Times New Roman"/>
        </w:rPr>
        <w:t>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realm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realm,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contrast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“inner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light.”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hyperlink r:id="rId13" w:history="1">
        <w:r w:rsidRPr="0019610D">
          <w:rPr>
            <w:rFonts w:eastAsia="Times New Roman"/>
            <w:b/>
            <w:bCs/>
            <w:color w:val="0062B5"/>
            <w:u w:val="single"/>
          </w:rPr>
          <w:t>Matthew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9610D">
          <w:rPr>
            <w:rFonts w:eastAsia="Times New Roman"/>
            <w:b/>
            <w:bCs/>
            <w:color w:val="0062B5"/>
            <w:u w:val="single"/>
          </w:rPr>
          <w:t>8:11-12</w:t>
        </w:r>
      </w:hyperlink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14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8:12</w:t>
        </w:r>
      </w:hyperlink>
      <w:r w:rsidRPr="0019610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lengthy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disciples,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commonly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“Sermon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Mount”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15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5-7</w:t>
        </w:r>
      </w:hyperlink>
      <w:r w:rsidRPr="0019610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exclusion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heavens.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continues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Sermon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Mount.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actually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picks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hyperlink r:id="rId17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healings.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healings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signs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signs,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reflecting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condition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" w:history="1">
        <w:r w:rsidRPr="0019610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1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pointed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available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healing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signs),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healed,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conditioned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national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repentance</w:t>
      </w:r>
      <w:r w:rsidRPr="0019610D">
        <w:rPr>
          <w:rFonts w:eastAsia="Times New Roman"/>
        </w:rPr>
        <w:t>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Actually,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centurion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(who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sick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home)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word.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illustrate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contrasting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exhibited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“not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19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8:10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spoke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west”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“sit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heavens.”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[outside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which,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viewed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Gentiles</w:t>
      </w:r>
      <w:r w:rsidRPr="0019610D">
        <w:rPr>
          <w:rFonts w:eastAsia="Times New Roman"/>
        </w:rPr>
        <w:t>],”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centurion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enter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belonged,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lack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excluded.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“sons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Israel]”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20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8:11-12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hyperlink r:id="rId21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21:43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¬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earthly,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Israel</w:t>
      </w:r>
      <w:r w:rsidRPr="0019610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separate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distinct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group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occupying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naturally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belong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them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group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aliens,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hope,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God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Jesus”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change.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“made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nigh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“Abraham’s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seed,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heirs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promise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Abraham]”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22" w:history="1">
        <w:r w:rsidRPr="0019610D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3:17-18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3" w:history="1">
        <w:r w:rsidRPr="0019610D">
          <w:rPr>
            <w:rFonts w:eastAsia="Times New Roman"/>
            <w:color w:val="0062B5"/>
            <w:u w:val="single"/>
          </w:rPr>
          <w:t>29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" w:history="1">
        <w:r w:rsidRPr="0019610D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2:12-13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5" w:history="1">
        <w:r w:rsidRPr="0019610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22:17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hyperlink r:id="rId26" w:history="1">
        <w:r w:rsidRPr="0019610D">
          <w:rPr>
            <w:rFonts w:eastAsia="Times New Roman"/>
            <w:b/>
            <w:bCs/>
            <w:color w:val="0062B5"/>
            <w:u w:val="single"/>
          </w:rPr>
          <w:t>Matthew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9610D">
          <w:rPr>
            <w:rFonts w:eastAsia="Times New Roman"/>
            <w:b/>
            <w:bCs/>
            <w:color w:val="0062B5"/>
            <w:u w:val="single"/>
          </w:rPr>
          <w:t>22:1-14</w:t>
        </w:r>
      </w:hyperlink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27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22:13</w:t>
        </w:r>
      </w:hyperlink>
      <w:r w:rsidRPr="0019610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depicted.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contextual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activities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attendant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royal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wedding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Contextually,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“King”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“Son”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2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22:2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Father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Son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“servants”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“other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29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22:3-4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bidden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[Israel]”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ministries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prophets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0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21:33-36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spurned,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messengers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ill-treated.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(heralded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John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Baptizer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Twelve</w:t>
      </w:r>
      <w:r w:rsidRPr="0019610D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saying,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reverence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Son.”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earthly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rode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astride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" w:history="1">
        <w:r w:rsidRPr="0019610D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9:9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32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21:1-11</w:t>
        </w:r>
      </w:hyperlink>
      <w:r w:rsidRPr="0019610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too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rejected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culminating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crucifixion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3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21:37-39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4" w:history="1">
        <w:r w:rsidRPr="0019610D">
          <w:rPr>
            <w:rFonts w:eastAsia="Times New Roman"/>
            <w:color w:val="0062B5"/>
            <w:u w:val="single"/>
          </w:rPr>
          <w:t>22:1-6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" w:history="1">
        <w:r w:rsidRPr="0019610D">
          <w:rPr>
            <w:rFonts w:eastAsia="Times New Roman"/>
            <w:color w:val="0062B5"/>
            <w:u w:val="single"/>
          </w:rPr>
          <w:t>23:1ff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blow.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taken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6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21:41-46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" w:history="1">
        <w:r w:rsidRPr="0019610D">
          <w:rPr>
            <w:rFonts w:eastAsia="Times New Roman"/>
            <w:color w:val="0062B5"/>
            <w:u w:val="single"/>
          </w:rPr>
          <w:t>22:8-10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[41b]).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synonymous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west”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8:11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recipient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9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21:43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0" w:history="1">
        <w:r w:rsidRPr="0019610D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2:11-15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" w:history="1">
        <w:r w:rsidRPr="0019610D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2:9-10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naturally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belonged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leads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mention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difference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2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8:12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reserved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text],”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3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22:13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reserved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individual,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separate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attendant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4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22:13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proper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attire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required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royal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festival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view.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wedding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garment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seven,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wedding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garment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announcement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made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45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22:8-10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6" w:history="1">
        <w:r w:rsidRPr="0019610D">
          <w:rPr>
            <w:rFonts w:eastAsia="Times New Roman"/>
            <w:color w:val="0062B5"/>
            <w:u w:val="single"/>
          </w:rPr>
          <w:t>14</w:t>
        </w:r>
      </w:hyperlink>
      <w:r w:rsidRPr="0019610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west”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7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8:11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highways”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22:9-10</w:t>
        </w:r>
      </w:hyperlink>
      <w:r w:rsidRPr="0019610D">
        <w:rPr>
          <w:rFonts w:eastAsia="Times New Roman"/>
        </w:rPr>
        <w:t>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bookmarkStart w:id="0" w:name="_GoBack"/>
      <w:bookmarkEnd w:id="0"/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reconcile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taught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49" w:history="1">
        <w:r w:rsidR="00177F86" w:rsidRPr="00177F86">
          <w:rPr>
            <w:rStyle w:val="Hyperlink"/>
            <w:color w:val="2F5496" w:themeColor="accent5" w:themeShade="BF"/>
            <w:shd w:val="clear" w:color="auto" w:fill="FFFFFF"/>
          </w:rPr>
          <w:t>Matthew 8:11-12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hyperlink r:id="rId50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22:1-14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anticipation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group.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recipients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darkness.”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1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ALONE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</w:t>
        </w:r>
      </w:hyperlink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portion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forth.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passages.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offer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open.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hyperlink r:id="rId53" w:history="1">
        <w:r w:rsidRPr="0019610D">
          <w:rPr>
            <w:rFonts w:eastAsia="Times New Roman"/>
            <w:b/>
            <w:bCs/>
            <w:color w:val="0062B5"/>
            <w:u w:val="single"/>
          </w:rPr>
          <w:t>Matthew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19610D">
          <w:rPr>
            <w:rFonts w:eastAsia="Times New Roman"/>
            <w:b/>
            <w:bCs/>
            <w:color w:val="0062B5"/>
            <w:u w:val="single"/>
          </w:rPr>
          <w:t>25:14-30</w:t>
        </w:r>
      </w:hyperlink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Matthew’s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54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25:30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tripartite,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Jews,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Christians,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Gentiles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Olivet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inception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Christianity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awaited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date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build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anticipated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55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16:18-19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6" w:history="1">
        <w:r w:rsidRPr="0019610D">
          <w:rPr>
            <w:rFonts w:eastAsia="Times New Roman"/>
            <w:color w:val="0062B5"/>
            <w:u w:val="single"/>
          </w:rPr>
          <w:t>21:33-43</w:t>
        </w:r>
      </w:hyperlink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cf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57" w:history="1">
        <w:r w:rsidRPr="0019610D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2:12-15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first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5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24:4-39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exclusively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rejected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judgments”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59" w:history="1">
        <w:r w:rsidRPr="0019610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26:8</w:t>
        </w:r>
      </w:hyperlink>
      <w:r w:rsidRPr="0019610D">
        <w:rPr>
          <w:rFonts w:eastAsia="Times New Roman"/>
        </w:rPr>
        <w:t>).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0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24:40-25:30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faithfulness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reckoning,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anticipating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third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1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25:31-46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living,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Olivet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segments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Jew,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Christian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age.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section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restricted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simple: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removes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name.”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awaits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dispensation.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Olivet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begins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resumes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again.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Christian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unlike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does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recipients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rejection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Gentile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view.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occur,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Church,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well.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judge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earth.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expression,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darkness,”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Olivet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Discourse.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follows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introduced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proofErr w:type="spellStart"/>
      <w:r w:rsidRPr="0019610D">
        <w:rPr>
          <w:rFonts w:eastAsia="Times New Roman"/>
          <w:i/>
          <w:iCs/>
        </w:rPr>
        <w:t>Hosper</w:t>
      </w:r>
      <w:proofErr w:type="spellEnd"/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gar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meaning,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reader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parable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parable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preceded</w:t>
      </w:r>
      <w:r w:rsidRPr="0019610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2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25:14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introducing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read,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“For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virgins]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travelling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country,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goods.”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3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25:1-13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talents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4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15:14-20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concern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basic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issues.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5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24:40-51</w:t>
        </w:r>
      </w:hyperlink>
      <w:r w:rsidRPr="0019610D">
        <w:rPr>
          <w:rFonts w:eastAsia="Times New Roman"/>
        </w:rPr>
        <w:t>).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help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former.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unfaithfulness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resulted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turning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away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6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24:40-44</w:t>
        </w:r>
      </w:hyperlink>
      <w:r w:rsidRPr="0019610D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apportion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hypocrites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</w:t>
      </w:r>
      <w:hyperlink r:id="rId67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24:45-51</w:t>
        </w:r>
      </w:hyperlink>
      <w:r w:rsidRPr="0019610D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(foolish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virgins)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excluded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marriage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festivities</w:t>
      </w:r>
      <w:r w:rsidRPr="0019610D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talents,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cast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outside.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  <w:r w:rsidRPr="0019610D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interrelationship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festival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" w:history="1">
        <w:r w:rsidRPr="0019610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9610D">
          <w:rPr>
            <w:rFonts w:eastAsia="Times New Roman"/>
            <w:color w:val="0062B5"/>
            <w:u w:val="single"/>
          </w:rPr>
          <w:t>22</w:t>
        </w:r>
      </w:hyperlink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clear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four.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unfaithful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servants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parables,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talents.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parable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describes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place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four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conditions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place</w:t>
      </w:r>
      <w:r w:rsidRPr="0019610D">
        <w:rPr>
          <w:rFonts w:eastAsia="Times New Roman"/>
        </w:rPr>
        <w:t>.</w:t>
      </w:r>
    </w:p>
    <w:p w:rsidR="0019610D" w:rsidRPr="0019610D" w:rsidRDefault="0019610D" w:rsidP="0019610D">
      <w:pPr>
        <w:shd w:val="clear" w:color="auto" w:fill="FFFFFF"/>
        <w:rPr>
          <w:rFonts w:eastAsia="Times New Roman"/>
        </w:rPr>
      </w:pPr>
    </w:p>
    <w:p w:rsidR="008019EB" w:rsidRPr="0019610D" w:rsidRDefault="0019610D" w:rsidP="0019610D">
      <w:pPr>
        <w:shd w:val="clear" w:color="auto" w:fill="FFFFFF"/>
      </w:pPr>
      <w:r w:rsidRPr="0019610D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“outer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darkness”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describes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9610D">
        <w:rPr>
          <w:rFonts w:eastAsia="Times New Roman"/>
          <w:i/>
          <w:iCs/>
        </w:rPr>
        <w:t>unfaithful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extended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  <w:i/>
          <w:iCs/>
        </w:rPr>
        <w:t>i.e.</w:t>
      </w:r>
      <w:r w:rsidRPr="0019610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occupy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marriage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festivities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9610D">
        <w:rPr>
          <w:rFonts w:eastAsia="Times New Roman"/>
        </w:rPr>
        <w:t>Christ.</w:t>
      </w:r>
    </w:p>
    <w:sectPr w:rsidR="008019EB" w:rsidRPr="0019610D" w:rsidSect="008019E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095E1B"/>
    <w:rsid w:val="000E203D"/>
    <w:rsid w:val="00177F86"/>
    <w:rsid w:val="0019610D"/>
    <w:rsid w:val="001D361D"/>
    <w:rsid w:val="001E041F"/>
    <w:rsid w:val="002D7D03"/>
    <w:rsid w:val="003D7CA7"/>
    <w:rsid w:val="005568B3"/>
    <w:rsid w:val="00562A82"/>
    <w:rsid w:val="006125B7"/>
    <w:rsid w:val="00703363"/>
    <w:rsid w:val="00774C51"/>
    <w:rsid w:val="007E0E1D"/>
    <w:rsid w:val="007F05FC"/>
    <w:rsid w:val="008019EB"/>
    <w:rsid w:val="00864733"/>
    <w:rsid w:val="008E1C41"/>
    <w:rsid w:val="00A94DA7"/>
    <w:rsid w:val="00B51BB6"/>
    <w:rsid w:val="00C3793C"/>
    <w:rsid w:val="00CA720C"/>
    <w:rsid w:val="00CE32F5"/>
    <w:rsid w:val="00D26A4A"/>
    <w:rsid w:val="00D436D8"/>
    <w:rsid w:val="00F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40CF-5A9E-4EF3-993C-D3819F15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6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5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215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Matthew+8.11-12&amp;t=NKJV" TargetMode="External"/><Relationship Id="rId18" Type="http://schemas.openxmlformats.org/officeDocument/2006/relationships/hyperlink" Target="https://www.blueletterbible.org/search/preSearch.cfm?Criteria=Isaiah+1&amp;t=NKJV" TargetMode="External"/><Relationship Id="rId26" Type="http://schemas.openxmlformats.org/officeDocument/2006/relationships/hyperlink" Target="https://www.blueletterbible.org/search/preSearch.cfm?Criteria=Matthew+22.1-14&amp;t=NKJV" TargetMode="External"/><Relationship Id="rId39" Type="http://schemas.openxmlformats.org/officeDocument/2006/relationships/hyperlink" Target="https://www.blueletterbible.org/search/preSearch.cfm?Criteria=Matthew+21.43&amp;t=NKJV" TargetMode="External"/><Relationship Id="rId21" Type="http://schemas.openxmlformats.org/officeDocument/2006/relationships/hyperlink" Target="https://www.blueletterbible.org/search/preSearch.cfm?Criteria=Matthew+21.43&amp;t=NKJV" TargetMode="External"/><Relationship Id="rId34" Type="http://schemas.openxmlformats.org/officeDocument/2006/relationships/hyperlink" Target="https://www.blueletterbible.org/search/preSearch.cfm?Criteria=Matthew+22.1-6&amp;t=NKJV" TargetMode="External"/><Relationship Id="rId42" Type="http://schemas.openxmlformats.org/officeDocument/2006/relationships/hyperlink" Target="https://www.blueletterbible.org/search/preSearch.cfm?Criteria=Matthew+8.12&amp;t=NKJV" TargetMode="External"/><Relationship Id="rId47" Type="http://schemas.openxmlformats.org/officeDocument/2006/relationships/hyperlink" Target="https://www.blueletterbible.org/search/preSearch.cfm?Criteria=Matthew+8.11&amp;t=NKJV" TargetMode="External"/><Relationship Id="rId50" Type="http://schemas.openxmlformats.org/officeDocument/2006/relationships/hyperlink" Target="https://www.blueletterbible.org/search/preSearch.cfm?Criteria=Matthew+22.1-14&amp;t=NKJV" TargetMode="External"/><Relationship Id="rId55" Type="http://schemas.openxmlformats.org/officeDocument/2006/relationships/hyperlink" Target="https://www.blueletterbible.org/search/preSearch.cfm?Criteria=Matthew+16.18-19&amp;t=NKJV" TargetMode="External"/><Relationship Id="rId63" Type="http://schemas.openxmlformats.org/officeDocument/2006/relationships/hyperlink" Target="https://www.blueletterbible.org/search/preSearch.cfm?Criteria=Matthew+25.1-13&amp;t=NKJV" TargetMode="External"/><Relationship Id="rId68" Type="http://schemas.openxmlformats.org/officeDocument/2006/relationships/hyperlink" Target="https://www.blueletterbible.org/search/preSearch.cfm?Criteria=Matthew+22&amp;t=NKJV" TargetMode="External"/><Relationship Id="rId7" Type="http://schemas.openxmlformats.org/officeDocument/2006/relationships/hyperlink" Target="https://www.blueletterbible.org/search/preSearch.cfm?Criteria=Matthew+25.3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8&amp;t=NKJV" TargetMode="External"/><Relationship Id="rId29" Type="http://schemas.openxmlformats.org/officeDocument/2006/relationships/hyperlink" Target="https://www.blueletterbible.org/search/preSearch.cfm?Criteria=Matthew+22.3-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2.13&amp;t=NKJV" TargetMode="External"/><Relationship Id="rId11" Type="http://schemas.openxmlformats.org/officeDocument/2006/relationships/hyperlink" Target="https://www.blueletterbible.org/search/preSearch.cfm?Criteria=Matthew+8.11-12&amp;t=NKJV" TargetMode="External"/><Relationship Id="rId24" Type="http://schemas.openxmlformats.org/officeDocument/2006/relationships/hyperlink" Target="https://www.blueletterbible.org/search/preSearch.cfm?Criteria=Ephesians+2.12-13&amp;t=NKJV" TargetMode="External"/><Relationship Id="rId32" Type="http://schemas.openxmlformats.org/officeDocument/2006/relationships/hyperlink" Target="https://www.blueletterbible.org/search/preSearch.cfm?Criteria=Matthew+21.1-11&amp;t=NKJV" TargetMode="External"/><Relationship Id="rId37" Type="http://schemas.openxmlformats.org/officeDocument/2006/relationships/hyperlink" Target="https://www.blueletterbible.org/search/preSearch.cfm?Criteria=Matthew+22.8-10&amp;t=NKJV" TargetMode="External"/><Relationship Id="rId40" Type="http://schemas.openxmlformats.org/officeDocument/2006/relationships/hyperlink" Target="https://www.blueletterbible.org/search/preSearch.cfm?Criteria=Ephesians+2.11-15&amp;t=NKJV" TargetMode="External"/><Relationship Id="rId45" Type="http://schemas.openxmlformats.org/officeDocument/2006/relationships/hyperlink" Target="https://www.blueletterbible.org/search/preSearch.cfm?Criteria=Matthew+22.8-10&amp;t=NKJV" TargetMode="External"/><Relationship Id="rId53" Type="http://schemas.openxmlformats.org/officeDocument/2006/relationships/hyperlink" Target="https://www.blueletterbible.org/search/preSearch.cfm?Criteria=Matthew+25.14-30&amp;t=NKJV" TargetMode="External"/><Relationship Id="rId58" Type="http://schemas.openxmlformats.org/officeDocument/2006/relationships/hyperlink" Target="https://www.blueletterbible.org/search/preSearch.cfm?Criteria=Matthew+24.4-39&amp;t=NKJV" TargetMode="External"/><Relationship Id="rId66" Type="http://schemas.openxmlformats.org/officeDocument/2006/relationships/hyperlink" Target="https://www.blueletterbible.org/search/preSearch.cfm?Criteria=Matthew+24.40-44&amp;t=NKJV" TargetMode="External"/><Relationship Id="rId5" Type="http://schemas.openxmlformats.org/officeDocument/2006/relationships/hyperlink" Target="https://www.blueletterbible.org/search/preSearch.cfm?Criteria=Matthew+8.12&amp;t=NKJV" TargetMode="External"/><Relationship Id="rId15" Type="http://schemas.openxmlformats.org/officeDocument/2006/relationships/hyperlink" Target="https://www.blueletterbible.org/search/preSearch.cfm?Criteria=Matthew+5-7&amp;t=NKJV" TargetMode="External"/><Relationship Id="rId23" Type="http://schemas.openxmlformats.org/officeDocument/2006/relationships/hyperlink" Target="https://www.blueletterbible.org/search/preSearch.cfm?Criteria=Galatians+3.29&amp;t=NKJV" TargetMode="External"/><Relationship Id="rId28" Type="http://schemas.openxmlformats.org/officeDocument/2006/relationships/hyperlink" Target="https://www.blueletterbible.org/search/preSearch.cfm?Criteria=Matthew+22.2&amp;t=NKJV" TargetMode="External"/><Relationship Id="rId36" Type="http://schemas.openxmlformats.org/officeDocument/2006/relationships/hyperlink" Target="https://www.blueletterbible.org/search/preSearch.cfm?Criteria=Matthew+21.41-46&amp;t=NKJV" TargetMode="External"/><Relationship Id="rId49" Type="http://schemas.openxmlformats.org/officeDocument/2006/relationships/hyperlink" Target="https://www.blueletterbible.org/search/preSearch.cfm?Criteria=Matthew+8.11-12&amp;t=NKJV" TargetMode="External"/><Relationship Id="rId57" Type="http://schemas.openxmlformats.org/officeDocument/2006/relationships/hyperlink" Target="https://www.blueletterbible.org/search/preSearch.cfm?Criteria=Ephesians+2.12-15&amp;t=NKJV" TargetMode="External"/><Relationship Id="rId61" Type="http://schemas.openxmlformats.org/officeDocument/2006/relationships/hyperlink" Target="https://www.blueletterbible.org/search/preSearch.cfm?Criteria=Matthew+25.31-46&amp;t=NKJV" TargetMode="External"/><Relationship Id="rId10" Type="http://schemas.openxmlformats.org/officeDocument/2006/relationships/hyperlink" Target="https://www.blueletterbible.org/search/preSearch.cfm?Criteria=Matthew+22&amp;t=NKJV" TargetMode="External"/><Relationship Id="rId19" Type="http://schemas.openxmlformats.org/officeDocument/2006/relationships/hyperlink" Target="https://www.blueletterbible.org/search/preSearch.cfm?Criteria=Matthew+8.10&amp;t=NKJV" TargetMode="External"/><Relationship Id="rId31" Type="http://schemas.openxmlformats.org/officeDocument/2006/relationships/hyperlink" Target="https://www.blueletterbible.org/search/preSearch.cfm?Criteria=Zechariah+9.9&amp;t=NKJV" TargetMode="External"/><Relationship Id="rId44" Type="http://schemas.openxmlformats.org/officeDocument/2006/relationships/hyperlink" Target="https://www.blueletterbible.org/search/preSearch.cfm?Criteria=Matthew+22.13&amp;t=NKJV" TargetMode="External"/><Relationship Id="rId52" Type="http://schemas.openxmlformats.org/officeDocument/2006/relationships/hyperlink" Target="https://www.blueletterbible.org/search/preSearch.cfm?Criteria=Matthew+22&amp;t=NKJV" TargetMode="External"/><Relationship Id="rId60" Type="http://schemas.openxmlformats.org/officeDocument/2006/relationships/hyperlink" Target="https://www.blueletterbible.org/search/preSearch.cfm?Criteria=Matthew+24.40-25.30&amp;t=NKJV" TargetMode="External"/><Relationship Id="rId65" Type="http://schemas.openxmlformats.org/officeDocument/2006/relationships/hyperlink" Target="https://www.blueletterbible.org/search/preSearch.cfm?Criteria=Matthew+24.40-5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Luke+13.28-29&amp;t=NKJV" TargetMode="External"/><Relationship Id="rId14" Type="http://schemas.openxmlformats.org/officeDocument/2006/relationships/hyperlink" Target="https://www.blueletterbible.org/search/preSearch.cfm?Criteria=Matthew+8.12&amp;t=NKJV" TargetMode="External"/><Relationship Id="rId22" Type="http://schemas.openxmlformats.org/officeDocument/2006/relationships/hyperlink" Target="https://www.blueletterbible.org/search/preSearch.cfm?Criteria=Galatians+3.17-18&amp;t=NKJV" TargetMode="External"/><Relationship Id="rId27" Type="http://schemas.openxmlformats.org/officeDocument/2006/relationships/hyperlink" Target="https://www.blueletterbible.org/search/preSearch.cfm?Criteria=Matthew+22.13&amp;t=NKJV" TargetMode="External"/><Relationship Id="rId30" Type="http://schemas.openxmlformats.org/officeDocument/2006/relationships/hyperlink" Target="https://www.blueletterbible.org/search/preSearch.cfm?Criteria=Matthew+21.33-36&amp;t=NKJV" TargetMode="External"/><Relationship Id="rId35" Type="http://schemas.openxmlformats.org/officeDocument/2006/relationships/hyperlink" Target="https://www.blueletterbible.org/search/preSearch.cfm?Criteria=Matthew+23.1ff&amp;t=NKJV" TargetMode="External"/><Relationship Id="rId43" Type="http://schemas.openxmlformats.org/officeDocument/2006/relationships/hyperlink" Target="https://www.blueletterbible.org/search/preSearch.cfm?Criteria=Matthew+22.13&amp;t=NKJV" TargetMode="External"/><Relationship Id="rId48" Type="http://schemas.openxmlformats.org/officeDocument/2006/relationships/hyperlink" Target="https://www.blueletterbible.org/search/preSearch.cfm?Criteria=Matthew+22.9-10&amp;t=NKJV" TargetMode="External"/><Relationship Id="rId56" Type="http://schemas.openxmlformats.org/officeDocument/2006/relationships/hyperlink" Target="https://www.blueletterbible.org/search/preSearch.cfm?Criteria=Matthew+21.33-43&amp;t=NKJV" TargetMode="External"/><Relationship Id="rId64" Type="http://schemas.openxmlformats.org/officeDocument/2006/relationships/hyperlink" Target="https://www.blueletterbible.org/search/preSearch.cfm?Criteria=Matthew+15.14-20&amp;t=NKJV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Matthew+8.11-12&amp;t=NKJV" TargetMode="External"/><Relationship Id="rId51" Type="http://schemas.openxmlformats.org/officeDocument/2006/relationships/hyperlink" Target="https://www.blueletterbible.org/search/preSearch.cfm?Criteria=Matthew+8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25.14-30&amp;t=NKJV" TargetMode="External"/><Relationship Id="rId17" Type="http://schemas.openxmlformats.org/officeDocument/2006/relationships/hyperlink" Target="https://www.blueletterbible.org/search/preSearch.cfm?Criteria=Matthew+4&amp;t=NKJV" TargetMode="External"/><Relationship Id="rId25" Type="http://schemas.openxmlformats.org/officeDocument/2006/relationships/hyperlink" Target="https://www.blueletterbible.org/search/preSearch.cfm?Criteria=Genesis+22.17&amp;t=NKJV" TargetMode="External"/><Relationship Id="rId33" Type="http://schemas.openxmlformats.org/officeDocument/2006/relationships/hyperlink" Target="https://www.blueletterbible.org/search/preSearch.cfm?Criteria=Matthew+21.37-39&amp;t=NKJV" TargetMode="External"/><Relationship Id="rId38" Type="http://schemas.openxmlformats.org/officeDocument/2006/relationships/hyperlink" Target="https://www.blueletterbible.org/search/preSearch.cfm?Criteria=Matthew+8.11&amp;t=NKJV" TargetMode="External"/><Relationship Id="rId46" Type="http://schemas.openxmlformats.org/officeDocument/2006/relationships/hyperlink" Target="https://www.blueletterbible.org/search/preSearch.cfm?Criteria=Matthew+22.14&amp;t=NKJV" TargetMode="External"/><Relationship Id="rId59" Type="http://schemas.openxmlformats.org/officeDocument/2006/relationships/hyperlink" Target="https://www.blueletterbible.org/search/preSearch.cfm?Criteria=Isaiah+26.8&amp;t=NKJV" TargetMode="External"/><Relationship Id="rId67" Type="http://schemas.openxmlformats.org/officeDocument/2006/relationships/hyperlink" Target="https://www.blueletterbible.org/search/preSearch.cfm?Criteria=Matthew+24.45-51&amp;t=NKJV" TargetMode="External"/><Relationship Id="rId20" Type="http://schemas.openxmlformats.org/officeDocument/2006/relationships/hyperlink" Target="https://www.blueletterbible.org/search/preSearch.cfm?Criteria=Matthew+8.11-12&amp;t=NKJV" TargetMode="External"/><Relationship Id="rId41" Type="http://schemas.openxmlformats.org/officeDocument/2006/relationships/hyperlink" Target="https://www.blueletterbible.org/search/preSearch.cfm?Criteria=I+Peter+2.9-10&amp;t=NKJV" TargetMode="External"/><Relationship Id="rId54" Type="http://schemas.openxmlformats.org/officeDocument/2006/relationships/hyperlink" Target="https://www.blueletterbible.org/search/preSearch.cfm?Criteria=Matthew+25.30&amp;t=NKJV" TargetMode="External"/><Relationship Id="rId62" Type="http://schemas.openxmlformats.org/officeDocument/2006/relationships/hyperlink" Target="https://www.blueletterbible.org/search/preSearch.cfm?Criteria=Matthew+25.14&amp;t=NKJV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10</cp:revision>
  <dcterms:created xsi:type="dcterms:W3CDTF">2021-07-22T14:15:00Z</dcterms:created>
  <dcterms:modified xsi:type="dcterms:W3CDTF">2021-07-24T15:11:00Z</dcterms:modified>
</cp:coreProperties>
</file>