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82" w:rsidRDefault="00A31282" w:rsidP="00A31282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A3128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primary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responsibility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pastor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local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church</w:t>
      </w:r>
      <w:r w:rsidRPr="00A31282">
        <w:rPr>
          <w:rFonts w:eastAsia="Times New Roman"/>
          <w:color w:val="FF0000"/>
        </w:rPr>
        <w:br/>
        <w:t>is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systematically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thoroughly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teach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Word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God—Bible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doctrine.</w:t>
      </w:r>
      <w:r w:rsidRPr="00A31282">
        <w:rPr>
          <w:rFonts w:eastAsia="Times New Roman"/>
          <w:color w:val="FF0000"/>
        </w:rPr>
        <w:br/>
        <w:t>All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other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church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pastoral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activities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must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take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second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place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this</w:t>
      </w:r>
      <w:r>
        <w:rPr>
          <w:rFonts w:eastAsia="Times New Roman"/>
          <w:color w:val="FF0000"/>
        </w:rPr>
        <w:t xml:space="preserve"> </w:t>
      </w:r>
      <w:r w:rsidRPr="00A31282">
        <w:rPr>
          <w:rFonts w:eastAsia="Times New Roman"/>
          <w:color w:val="FF0000"/>
        </w:rPr>
        <w:t>activity.</w:t>
      </w:r>
    </w:p>
    <w:p w:rsidR="00A31282" w:rsidRPr="00A31282" w:rsidRDefault="00A31282" w:rsidP="00A31282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1282">
        <w:rPr>
          <w:rFonts w:eastAsia="Times New Roman"/>
          <w:b/>
          <w:bCs/>
          <w:color w:val="222222"/>
        </w:rPr>
        <w:t>Today’s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church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member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may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aware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“milk”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salvation,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i/>
          <w:iCs/>
          <w:color w:val="222222"/>
        </w:rPr>
        <w:t>i.e.</w:t>
      </w:r>
      <w:r w:rsidRPr="00A31282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justification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spirit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based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on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i/>
          <w:iCs/>
          <w:color w:val="222222"/>
        </w:rPr>
        <w:t>faith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31282">
        <w:rPr>
          <w:rFonts w:eastAsia="Times New Roman"/>
          <w:b/>
          <w:bCs/>
          <w:i/>
          <w:iCs/>
          <w:color w:val="222222"/>
        </w:rPr>
        <w:t>alone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31282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31282">
        <w:rPr>
          <w:rFonts w:eastAsia="Times New Roman"/>
          <w:b/>
          <w:bCs/>
          <w:i/>
          <w:iCs/>
          <w:color w:val="222222"/>
        </w:rPr>
        <w:t>Christ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31282">
        <w:rPr>
          <w:rFonts w:eastAsia="Times New Roman"/>
          <w:b/>
          <w:bCs/>
          <w:i/>
          <w:iCs/>
          <w:color w:val="222222"/>
        </w:rPr>
        <w:t>alone</w:t>
      </w:r>
      <w:r w:rsidRPr="00A31282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but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quite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ignorant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“meat”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salvation,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i/>
          <w:iCs/>
          <w:color w:val="222222"/>
        </w:rPr>
        <w:t>i.e.</w:t>
      </w:r>
      <w:r w:rsidRPr="00A31282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salvation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soul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(</w:t>
      </w:r>
      <w:proofErr w:type="spellStart"/>
      <w:r w:rsidRPr="00A31282">
        <w:rPr>
          <w:rFonts w:eastAsia="Times New Roman"/>
          <w:b/>
          <w:bCs/>
          <w:color w:val="222222"/>
        </w:rPr>
        <w:t>Gk</w:t>
      </w:r>
      <w:proofErr w:type="spellEnd"/>
      <w:r w:rsidRPr="00A31282">
        <w:rPr>
          <w:rFonts w:eastAsia="Times New Roman"/>
          <w:b/>
          <w:bCs/>
          <w:color w:val="222222"/>
        </w:rPr>
        <w:t>: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i/>
          <w:iCs/>
          <w:color w:val="222222"/>
        </w:rPr>
        <w:t>life</w:t>
      </w:r>
      <w:r w:rsidRPr="00A31282">
        <w:rPr>
          <w:rFonts w:eastAsia="Times New Roman"/>
          <w:b/>
          <w:bCs/>
          <w:color w:val="222222"/>
        </w:rPr>
        <w:t>)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through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spiritual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perseverance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crucial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import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Judgment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Seat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coming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Kingdom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Age.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A31282">
        <w:rPr>
          <w:rFonts w:eastAsia="Times New Roman"/>
          <w:b/>
          <w:color w:val="222222"/>
          <w:sz w:val="32"/>
          <w:szCs w:val="32"/>
        </w:rPr>
        <w:t>The Pastor’s Primary Responsibility</w:t>
      </w:r>
      <w:bookmarkEnd w:id="0"/>
      <w:r w:rsidRPr="00A31282">
        <w:rPr>
          <w:rFonts w:eastAsia="Times New Roman"/>
          <w:b/>
          <w:color w:val="222222"/>
          <w:sz w:val="32"/>
          <w:szCs w:val="32"/>
        </w:rPr>
        <w:br/>
      </w:r>
      <w:r w:rsidRPr="00A31282">
        <w:rPr>
          <w:rFonts w:eastAsia="Times New Roman"/>
          <w:bCs/>
          <w:i/>
          <w:color w:val="222222"/>
        </w:rPr>
        <w:t>The Local Church’s Primary Role</w:t>
      </w:r>
      <w:r w:rsidRPr="00A31282">
        <w:rPr>
          <w:rFonts w:eastAsia="Times New Roman"/>
          <w:bCs/>
          <w:i/>
          <w:color w:val="222222"/>
        </w:rPr>
        <w:br/>
      </w:r>
      <w:r w:rsidRPr="00A31282">
        <w:rPr>
          <w:rFonts w:eastAsia="Times New Roman"/>
          <w:b/>
          <w:bCs/>
          <w:color w:val="222222"/>
        </w:rPr>
        <w:t xml:space="preserve">By Charles Strong of </w:t>
      </w:r>
      <w:hyperlink r:id="rId4" w:history="1">
        <w:r w:rsidRPr="00A31282">
          <w:rPr>
            <w:rFonts w:eastAsia="Times New Roman"/>
            <w:b/>
            <w:color w:val="1F497D"/>
            <w:u w:val="single"/>
          </w:rPr>
          <w:t>Bible One</w:t>
        </w:r>
      </w:hyperlink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1282">
        <w:rPr>
          <w:rFonts w:eastAsia="Times New Roman"/>
          <w:b/>
          <w:bCs/>
          <w:color w:val="222222"/>
        </w:rPr>
        <w:t>Preface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topic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address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reasons.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intrudes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grounds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proliferation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professionals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field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capable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extensive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field-experience.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charge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“being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presumptuous”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likely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charged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limited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especially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compared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long-time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ministers.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well-written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isolate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factor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important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aware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“over-the-deep-end”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criticism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hurl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due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treatise,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true,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study/commentary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anyone’s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field,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extensive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observations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assemblies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extensive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script,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duty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adequately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anywhere,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exclusively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prospective.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crux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issue.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standard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determination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establishes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role.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canonized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Scriptures—the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determination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stems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field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Furthermore,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freely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recognizes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obligations,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concerned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believes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top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priority</w:t>
      </w:r>
      <w:r w:rsidRPr="00A3128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realizes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document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applicable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issue.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Premise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responsibility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disciples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shallow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converts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procedure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proportional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resolute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intense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systematic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thematic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ignorance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influence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tradition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associative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persons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assemblies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laziness,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maintain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nursery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infants.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relegate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instruction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session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“Sunday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school”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week,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hour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less,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scheduling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amount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services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important,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matters.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lastRenderedPageBreak/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“Sunday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school”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sessions,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fortunate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three-fourths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scheduled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hour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truly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devoted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methodical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selected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administer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schools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devotion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weekly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pre-programmed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quarterly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obviates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such,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value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“waiting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Lord”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weekly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lessons.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weekly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theologies,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color w:val="222222"/>
        </w:rPr>
        <w:t>Bibliology</w:t>
      </w:r>
      <w:proofErr w:type="spellEnd"/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Soteriology,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Angelology,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Ecclesiology,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Eschatology,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Christology,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Pneumatology,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more.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consequence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lopsided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prioritization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energy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proliferation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congregations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ignorant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“meat”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excepting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approved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composed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satisfied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gauge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moralistic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homilies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cases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psychological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pep-talks)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week,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personal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carnality,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worldliness,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“legalism-spirituality”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today?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fervent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world?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“last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days”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churches?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“spiritual-lukewarm”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prevail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pulpits?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member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aware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“milk”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i.e.</w:t>
      </w:r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justification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alone</w:t>
      </w:r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ignorant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“meat”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i.e.</w:t>
      </w:r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life</w:t>
      </w:r>
      <w:r w:rsidRPr="00A3128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perseverance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crucial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import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Age.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cross,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affords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believer,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e.g.</w:t>
      </w:r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justification,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imputation,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expiation,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reconciliation,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regeneration,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propitiation,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sanctification,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glorification.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understands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degree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fails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differentiate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flawed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interpretations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contains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comprehension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prophetic,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“last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days.”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stands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said: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ought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teachers,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someone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principles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oracles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milk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solid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food.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everyone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partakes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milk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unskilled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babe.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solid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food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belongs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age,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use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senses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exercised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discern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evil.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5" w:history="1">
        <w:r w:rsidRPr="00A31282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5:12-14</w:t>
        </w:r>
      </w:hyperlink>
      <w:r w:rsidRPr="00A31282">
        <w:rPr>
          <w:rFonts w:eastAsia="Times New Roman"/>
          <w:color w:val="222222"/>
        </w:rPr>
        <w:t>)</w:t>
      </w: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case.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attributed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dearth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pulpit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forums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surely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concept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shepherding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ample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contrary,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ample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versed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apostles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priority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comprehensive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Bible-doctrine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consumption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routinely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in-deed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learn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again”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Christians.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Evidence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A31282">
        <w:rPr>
          <w:rFonts w:eastAsia="Times New Roman"/>
          <w:color w:val="222222"/>
          <w:u w:val="single"/>
        </w:rPr>
        <w:lastRenderedPageBreak/>
        <w:t>By</w:t>
      </w:r>
      <w:r>
        <w:rPr>
          <w:rFonts w:eastAsia="Times New Roman"/>
          <w:color w:val="222222"/>
          <w:u w:val="single"/>
        </w:rPr>
        <w:t xml:space="preserve"> </w:t>
      </w:r>
      <w:r w:rsidRPr="00A31282">
        <w:rPr>
          <w:rFonts w:eastAsia="Times New Roman"/>
          <w:color w:val="222222"/>
          <w:u w:val="single"/>
        </w:rPr>
        <w:t>Christ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fascinating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sadly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paradoxical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teachers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Commission,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post-resurrection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mountain.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spoke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“All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31282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earth.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disciples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i/>
          <w:iCs/>
          <w:color w:val="222222"/>
        </w:rPr>
        <w:t>: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matheteuo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baptizing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i/>
          <w:iCs/>
          <w:color w:val="222222"/>
        </w:rPr>
        <w:t>: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didasko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observe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commanded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you;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lo,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always,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age.”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6" w:history="1">
        <w:r w:rsidRPr="00A3128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28:18-20</w:t>
        </w:r>
      </w:hyperlink>
      <w:r w:rsidRPr="00A31282">
        <w:rPr>
          <w:rFonts w:eastAsia="Times New Roman"/>
          <w:color w:val="222222"/>
        </w:rPr>
        <w:t>)</w:t>
      </w: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expounds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apostles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Christian),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decree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“soul-winners,”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i.e.</w:t>
      </w:r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“saved”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(again)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above.”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sure,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included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assumed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age,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achieve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(birth).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crucial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Commission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persons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“get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saved.”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matheteuo</w:t>
      </w:r>
      <w:proofErr w:type="spellEnd"/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instruct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disciple.”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distinguished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matheo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manthano</w:t>
      </w:r>
      <w:proofErr w:type="spellEnd"/>
      <w:r w:rsidRPr="00A3128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learn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attachment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teacher.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Matheteuo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learn,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attached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follower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conduct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akin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mathetes</w:t>
      </w:r>
      <w:proofErr w:type="spellEnd"/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represents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pupil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learner.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adherent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accepts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instruction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conduct,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e.g.</w:t>
      </w:r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7" w:history="1">
        <w:r w:rsidRPr="00A3128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11:2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A31282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2:18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A3128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5:33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A31282">
          <w:rPr>
            <w:rFonts w:eastAsia="Times New Roman"/>
            <w:color w:val="0062B5"/>
            <w:u w:val="single"/>
          </w:rPr>
          <w:t>7:18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A3128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3:25</w:t>
        </w:r>
      </w:hyperlink>
      <w:r w:rsidRPr="00A3128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Pharisees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12" w:history="1">
        <w:r w:rsidRPr="00A31282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2:18</w:t>
        </w:r>
      </w:hyperlink>
      <w:r w:rsidRPr="00A3128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conduct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13" w:history="1">
        <w:r w:rsidRPr="00A3128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5:1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A31282">
          <w:rPr>
            <w:rFonts w:eastAsia="Times New Roman"/>
            <w:color w:val="0062B5"/>
            <w:u w:val="single"/>
          </w:rPr>
          <w:t>8:23</w:t>
        </w:r>
      </w:hyperlink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A31282">
          <w:rPr>
            <w:rFonts w:eastAsia="Times New Roman"/>
            <w:color w:val="0062B5"/>
            <w:u w:val="single"/>
          </w:rPr>
          <w:t>25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A31282">
          <w:rPr>
            <w:rFonts w:eastAsia="Times New Roman"/>
            <w:color w:val="0062B5"/>
            <w:u w:val="single"/>
          </w:rPr>
          <w:t>9:10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A31282">
          <w:rPr>
            <w:rFonts w:eastAsia="Times New Roman"/>
            <w:color w:val="0062B5"/>
            <w:u w:val="single"/>
          </w:rPr>
          <w:t>11:1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A31282">
          <w:rPr>
            <w:rFonts w:eastAsia="Times New Roman"/>
            <w:color w:val="0062B5"/>
            <w:u w:val="single"/>
          </w:rPr>
          <w:t>14:22</w:t>
        </w:r>
      </w:hyperlink>
      <w:r w:rsidRPr="00A31282">
        <w:rPr>
          <w:rFonts w:eastAsia="Times New Roman"/>
          <w:color w:val="222222"/>
        </w:rPr>
        <w:t>).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Therefore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forcefully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charging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produce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reinforced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says,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“teaching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observe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you.”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didasko</w:t>
      </w:r>
      <w:proofErr w:type="spellEnd"/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quality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“influence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objective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end.”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“end”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child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i.e.</w:t>
      </w:r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doctrine—the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“meat”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surpasses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“milk”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school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today.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nowhere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showed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apostles,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beside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color w:val="222222"/>
        </w:rPr>
        <w:t>Tiberias</w:t>
      </w:r>
      <w:proofErr w:type="spellEnd"/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object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lesson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feeding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breakfast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roasted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fish.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eaten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breakfast,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Simon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Peter,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“Simon,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agapao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Me</w:t>
      </w:r>
      <w:proofErr w:type="gramEnd"/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these?”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“Yes,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Lord;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You</w:t>
      </w:r>
      <w:proofErr w:type="gramEnd"/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phileo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You.”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“Feed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bosko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My</w:t>
      </w:r>
      <w:proofErr w:type="gramEnd"/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arnion</w:t>
      </w:r>
      <w:proofErr w:type="spellEnd"/>
      <w:r w:rsidRPr="00A31282">
        <w:rPr>
          <w:rFonts w:eastAsia="Times New Roman"/>
          <w:color w:val="222222"/>
        </w:rPr>
        <w:t>].”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“Simon,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agapao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Me</w:t>
      </w:r>
      <w:proofErr w:type="gramEnd"/>
      <w:r w:rsidRPr="00A31282">
        <w:rPr>
          <w:rFonts w:eastAsia="Times New Roman"/>
          <w:color w:val="222222"/>
        </w:rPr>
        <w:t>?”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“Yes,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Lord;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You</w:t>
      </w:r>
      <w:proofErr w:type="gramEnd"/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phileo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You.”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“Tend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(Shepherd)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poimaino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My</w:t>
      </w:r>
      <w:proofErr w:type="gramEnd"/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sheep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probaton</w:t>
      </w:r>
      <w:proofErr w:type="spellEnd"/>
      <w:r w:rsidRPr="00A31282">
        <w:rPr>
          <w:rFonts w:eastAsia="Times New Roman"/>
          <w:color w:val="222222"/>
        </w:rPr>
        <w:t>].”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“Simon,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phileo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Me</w:t>
      </w:r>
      <w:proofErr w:type="gramEnd"/>
      <w:r w:rsidRPr="00A31282">
        <w:rPr>
          <w:rFonts w:eastAsia="Times New Roman"/>
          <w:color w:val="222222"/>
        </w:rPr>
        <w:t>?”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grieved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time,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“Do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phileo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Me</w:t>
      </w:r>
      <w:proofErr w:type="gramEnd"/>
      <w:r w:rsidRPr="00A31282">
        <w:rPr>
          <w:rFonts w:eastAsia="Times New Roman"/>
          <w:color w:val="222222"/>
        </w:rPr>
        <w:t>?”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“Lord,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things;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You</w:t>
      </w:r>
      <w:proofErr w:type="gramEnd"/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phileo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You.”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“Feed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bosko</w:t>
      </w:r>
      <w:proofErr w:type="spellEnd"/>
      <w:r w:rsidRPr="00A3128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proofErr w:type="gramStart"/>
      <w:r w:rsidRPr="00A31282">
        <w:rPr>
          <w:rFonts w:eastAsia="Times New Roman"/>
          <w:color w:val="222222"/>
        </w:rPr>
        <w:t>My</w:t>
      </w:r>
      <w:proofErr w:type="gramEnd"/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sheep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[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probaton</w:t>
      </w:r>
      <w:proofErr w:type="spellEnd"/>
      <w:r w:rsidRPr="00A31282">
        <w:rPr>
          <w:rFonts w:eastAsia="Times New Roman"/>
          <w:color w:val="222222"/>
        </w:rPr>
        <w:t>].”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19" w:history="1">
        <w:r w:rsidRPr="00A3128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21:15-17</w:t>
        </w:r>
      </w:hyperlink>
      <w:r w:rsidRPr="00A31282">
        <w:rPr>
          <w:rFonts w:eastAsia="Times New Roman"/>
          <w:color w:val="222222"/>
        </w:rPr>
        <w:t>)</w:t>
      </w: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Parishioners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sermons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exegetical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exposition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“love”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exchange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analysis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words: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“feed,”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“lambs,”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“shepherd,”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“sheep.”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primarily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enforce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premise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herein.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“love”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twice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agapao</w:t>
      </w:r>
      <w:proofErr w:type="spellEnd"/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unselfish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another’s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need;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phileo</w:t>
      </w:r>
      <w:proofErr w:type="spellEnd"/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conveys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friend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someone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consequently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adopt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interests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befriended.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yielded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term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perhaps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settle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whatever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felt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capable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giving.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ability,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hamper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20" w:history="1">
        <w:r w:rsidRPr="00A3128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3:16</w:t>
        </w:r>
      </w:hyperlink>
      <w:r w:rsidRPr="00A31282">
        <w:rPr>
          <w:rFonts w:eastAsia="Times New Roman"/>
          <w:color w:val="222222"/>
        </w:rPr>
        <w:t>—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 w:rsidRPr="00A3128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agapao</w:t>
      </w:r>
      <w:proofErr w:type="spellEnd"/>
      <w:r w:rsidRPr="00A3128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endeavoring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convey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validate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bottom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truly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(either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agapao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phileo</w:t>
      </w:r>
      <w:proofErr w:type="spellEnd"/>
      <w:r w:rsidRPr="00A3128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primarily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responsibility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follow: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Christ.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Shepherd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sheep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Christ.</w:t>
      </w: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sheep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Christ.</w:t>
      </w: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metaphorically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telling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feeding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(teaching)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immature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(lambs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newly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saved)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(sheep)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Additionally,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sentence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equates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“shepherding”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(tending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care)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important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earnestly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desires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development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sanctified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proofErr w:type="spellStart"/>
      <w:r w:rsidRPr="00A31282">
        <w:rPr>
          <w:rFonts w:eastAsia="Times New Roman"/>
          <w:color w:val="222222"/>
        </w:rPr>
        <w:t>Gk</w:t>
      </w:r>
      <w:proofErr w:type="spellEnd"/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meaning: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“set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apart”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“holy”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“spiritually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mature”)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believers,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“babes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depth.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honor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ambassadors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truly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effective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21" w:history="1">
        <w:r w:rsidRPr="00A3128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2:4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A3128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3:9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A3128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2:2</w:t>
        </w:r>
      </w:hyperlink>
      <w:r w:rsidRPr="00A3128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child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grow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achieve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ends;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witness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prays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disciples: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P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lastRenderedPageBreak/>
        <w:t>Sanctify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31282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truth.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truth.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24" w:history="1">
        <w:r w:rsidRPr="00A3128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17:17</w:t>
        </w:r>
      </w:hyperlink>
      <w:r w:rsidRPr="00A31282">
        <w:rPr>
          <w:rFonts w:eastAsia="Times New Roman"/>
          <w:color w:val="222222"/>
        </w:rPr>
        <w:t>)</w:t>
      </w: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confirms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objective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believers),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sanctify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cleanse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washing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water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glorious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church,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spot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wrinkle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thing,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blemish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25" w:history="1">
        <w:r w:rsidRPr="00A3128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5:26-27</w:t>
        </w:r>
      </w:hyperlink>
      <w:r w:rsidRPr="00A31282">
        <w:rPr>
          <w:rFonts w:eastAsia="Times New Roman"/>
          <w:color w:val="222222"/>
        </w:rPr>
        <w:t>).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Furthermore,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ample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convey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designate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intense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comprehensive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top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priority</w:t>
      </w:r>
      <w:r w:rsidRPr="00A31282">
        <w:rPr>
          <w:rFonts w:eastAsia="Times New Roman"/>
          <w:color w:val="222222"/>
        </w:rPr>
        <w:t>—over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hoc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milk-toast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activity.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A31282">
        <w:rPr>
          <w:rFonts w:eastAsia="Times New Roman"/>
          <w:color w:val="222222"/>
          <w:u w:val="single"/>
        </w:rPr>
        <w:t>By</w:t>
      </w:r>
      <w:r>
        <w:rPr>
          <w:rFonts w:eastAsia="Times New Roman"/>
          <w:color w:val="222222"/>
          <w:u w:val="single"/>
        </w:rPr>
        <w:t xml:space="preserve"> </w:t>
      </w:r>
      <w:r w:rsidRPr="00A31282">
        <w:rPr>
          <w:rFonts w:eastAsia="Times New Roman"/>
          <w:color w:val="222222"/>
          <w:u w:val="single"/>
        </w:rPr>
        <w:t>Others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seriously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considered,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convince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intense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inclusive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r w:rsidRPr="00A31282">
        <w:rPr>
          <w:rFonts w:eastAsia="Times New Roman"/>
          <w:i/>
          <w:iCs/>
          <w:color w:val="222222"/>
        </w:rPr>
        <w:t>i.e.</w:t>
      </w:r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“feeding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sheep”)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deserves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hierarchy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“shepherding”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scale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decided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comment,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clarity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intent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sufficient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convince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genuine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quest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truth.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shepherds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31282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heart,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understanding.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26" w:tgtFrame="null" w:history="1">
        <w:r w:rsidRPr="00A31282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3:15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shepherds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them;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fear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more,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dismayed,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lacking,”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LORD.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27" w:tgtFrame="null" w:history="1">
        <w:r w:rsidRPr="00A31282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23:4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prophesy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shepherds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prophesy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“Thus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shepherds: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‘Woe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shepherds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themselves!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shepherds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flocks?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clothe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yourselves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wool;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slaughter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fatlings,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flock.’”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28" w:tgtFrame="null" w:history="1">
        <w:r w:rsidRPr="00A31282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34:2-3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establish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shepherd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them—</w:t>
      </w:r>
      <w:proofErr w:type="gramStart"/>
      <w:r w:rsidRPr="00A31282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David.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shepherd.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29" w:tgtFrame="null" w:history="1">
        <w:r w:rsidRPr="00A31282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34:23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Helper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comes,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send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Father,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truth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proceeds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Father,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testify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31282">
        <w:rPr>
          <w:rFonts w:eastAsia="Times New Roman"/>
          <w:i/>
          <w:iCs/>
          <w:color w:val="222222"/>
        </w:rPr>
        <w:t>Me</w:t>
      </w:r>
      <w:proofErr w:type="gramEnd"/>
      <w:r w:rsidRPr="00A3128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However,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truth,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guide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truth;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speak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authority,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whatever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hears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speak;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come.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30" w:tgtFrame="null" w:history="1">
        <w:r w:rsidRPr="00A3128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15:26</w:t>
        </w:r>
      </w:hyperlink>
      <w:r w:rsidRPr="00A3128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tgtFrame="null" w:history="1">
        <w:r w:rsidRPr="00A31282">
          <w:rPr>
            <w:rFonts w:eastAsia="Times New Roman"/>
            <w:color w:val="0062B5"/>
            <w:u w:val="single"/>
          </w:rPr>
          <w:t>16:13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kept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helpful,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proclaimed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taught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publicly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house.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shunned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declare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counsel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yourselves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flock,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overseers,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shepherd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purchased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blood.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32" w:tgtFrame="null" w:history="1">
        <w:r w:rsidRPr="00A31282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20:20</w:t>
        </w:r>
      </w:hyperlink>
      <w:r w:rsidRPr="00A3128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3" w:tgtFrame="null" w:history="1">
        <w:r w:rsidRPr="00A31282">
          <w:rPr>
            <w:rFonts w:eastAsia="Times New Roman"/>
            <w:color w:val="0062B5"/>
            <w:u w:val="single"/>
          </w:rPr>
          <w:t>27-28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now,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commend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grace,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build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sanctified.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34" w:tgtFrame="null" w:history="1">
        <w:r w:rsidRPr="00A31282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20:32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understanding;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however,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malice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babes,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mature.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35" w:tgtFrame="null" w:history="1">
        <w:r w:rsidRPr="00A3128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14:20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eyes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enlightened;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calling,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riches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saints.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36" w:tgtFrame="null" w:history="1">
        <w:r w:rsidRPr="00A3128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1:18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apostles,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prophets,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evangelists,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pastors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teachers,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equipping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saints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ministry,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edifying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unity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measure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stature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fullness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Christ;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children,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tossed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fro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carried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doctrine,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trickery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men,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cunning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craftiness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deceitful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plotting,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speaking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truth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love,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grow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head—Christ.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37" w:tgtFrame="null" w:history="1">
        <w:r w:rsidRPr="00A3128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4:11-15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preach,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warning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wisdom,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Jesus</w:t>
      </w:r>
      <w:r w:rsidRPr="00A3128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38" w:tgtFrame="null" w:history="1">
        <w:r w:rsidRPr="00A3128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1:28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bishop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blameless,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husband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wife,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temperate,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sober-minded,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behavior,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hospitable,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39" w:tgtFrame="null" w:history="1">
        <w:r w:rsidRPr="00A3128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3:2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command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40" w:tgtFrame="null" w:history="1">
        <w:r w:rsidRPr="00A3128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4:11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Preach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Word!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season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season.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Convince,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rebuke,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exhort,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longsuffering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teaching.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endure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sound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doctrine,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desires,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itching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ears,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31282">
        <w:rPr>
          <w:rFonts w:eastAsia="Times New Roman"/>
          <w:i/>
          <w:iCs/>
          <w:color w:val="222222"/>
        </w:rPr>
        <w:t>heap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teachers;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ears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truth,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turned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fables.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41" w:tgtFrame="null" w:history="1">
        <w:r w:rsidRPr="00A3128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4:2-4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Shepherd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flock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serving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overseers,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compulsion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willingly,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dishonest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gain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eagerly.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42" w:tgtFrame="null" w:history="1">
        <w:r w:rsidRPr="00A3128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5:2</w:t>
        </w:r>
      </w:hyperlink>
      <w:r w:rsidRPr="00A31282">
        <w:rPr>
          <w:rFonts w:eastAsia="Times New Roman"/>
          <w:color w:val="222222"/>
        </w:rPr>
        <w:t>)</w:t>
      </w:r>
    </w:p>
    <w:p w:rsidR="005E0C1F" w:rsidRPr="00A31282" w:rsidRDefault="005E0C1F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128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1282">
        <w:rPr>
          <w:rFonts w:eastAsia="Times New Roman"/>
          <w:b/>
          <w:bCs/>
          <w:color w:val="222222"/>
        </w:rPr>
        <w:t>Conclusion</w:t>
      </w:r>
    </w:p>
    <w:p w:rsidR="005E0C1F" w:rsidRPr="00A31282" w:rsidRDefault="005E0C1F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conclusion.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responsibility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systematically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thoroughly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God—Bible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activity.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Yes,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services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okay,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truly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express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priority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consumption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Song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biblical,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equivalent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substitutionary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meetings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visitation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programs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scriptural,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programs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instruction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doctrine.</w:t>
      </w:r>
    </w:p>
    <w:p w:rsidR="005E0C1F" w:rsidRPr="00A31282" w:rsidRDefault="005E0C1F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Pastoral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carefully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examine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allotment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assigned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activities.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preponderance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comprehensive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intense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exposition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honoring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instruction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evidenced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apostles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churches,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employ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school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hour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“worship”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services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Sundays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“prayer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meeting”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“worship”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service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week;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suggested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school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hour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hours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service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morning,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two-hour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service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night,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two-hour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service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week.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in-line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God.</w:t>
      </w:r>
    </w:p>
    <w:p w:rsidR="005E0C1F" w:rsidRPr="00A31282" w:rsidRDefault="005E0C1F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classes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homes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considered.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Actually,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sessions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conducive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learning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cementing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biblical-loving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connections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believers.</w:t>
      </w:r>
    </w:p>
    <w:p w:rsidR="005E0C1F" w:rsidRPr="00A31282" w:rsidRDefault="005E0C1F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 w:rsidRPr="00A3128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suggestions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popular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“run-of-the-mill”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pastors.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small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incremental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realignments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function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mission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lastRenderedPageBreak/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instruction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status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quo.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enable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Paul:</w:t>
      </w:r>
    </w:p>
    <w:p w:rsidR="005E0C1F" w:rsidRPr="00A31282" w:rsidRDefault="005E0C1F" w:rsidP="00A31282">
      <w:pPr>
        <w:shd w:val="clear" w:color="auto" w:fill="FFFFFF"/>
        <w:ind w:left="0"/>
        <w:rPr>
          <w:rFonts w:eastAsia="Times New Roman"/>
          <w:color w:val="222222"/>
        </w:rPr>
      </w:pPr>
    </w:p>
    <w:p w:rsidR="00A31282" w:rsidRDefault="00A31282" w:rsidP="00A31282">
      <w:pPr>
        <w:shd w:val="clear" w:color="auto" w:fill="FFFFFF"/>
        <w:ind w:left="600"/>
        <w:rPr>
          <w:rFonts w:eastAsia="Times New Roman"/>
          <w:color w:val="222222"/>
        </w:rPr>
      </w:pPr>
      <w:r w:rsidRPr="00A3128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preach,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warning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teaching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wisdom,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31282">
        <w:rPr>
          <w:rFonts w:eastAsia="Times New Roman"/>
          <w:i/>
          <w:iCs/>
          <w:color w:val="222222"/>
        </w:rPr>
        <w:t>Jesus.</w:t>
      </w:r>
      <w:r>
        <w:rPr>
          <w:rFonts w:eastAsia="Times New Roman"/>
          <w:color w:val="222222"/>
        </w:rPr>
        <w:t xml:space="preserve"> </w:t>
      </w:r>
      <w:r w:rsidRPr="00A31282">
        <w:rPr>
          <w:rFonts w:eastAsia="Times New Roman"/>
          <w:color w:val="222222"/>
        </w:rPr>
        <w:t>(</w:t>
      </w:r>
      <w:hyperlink r:id="rId43" w:tgtFrame="null" w:history="1">
        <w:r w:rsidRPr="00A3128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1:28</w:t>
        </w:r>
      </w:hyperlink>
      <w:r w:rsidRPr="00A31282">
        <w:rPr>
          <w:rFonts w:eastAsia="Times New Roman"/>
          <w:color w:val="222222"/>
        </w:rPr>
        <w:t>)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A31282" w:rsidRPr="00A31282" w:rsidRDefault="00A31282" w:rsidP="00A31282">
      <w:pPr>
        <w:shd w:val="clear" w:color="auto" w:fill="FFFFFF"/>
        <w:ind w:left="0"/>
        <w:rPr>
          <w:rFonts w:eastAsia="Times New Roman"/>
          <w:color w:val="222222"/>
        </w:rPr>
      </w:pPr>
      <w:hyperlink r:id="rId44" w:history="1">
        <w:r w:rsidRPr="00A31282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Charles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Strong's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Pastor’s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Primary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31282">
          <w:rPr>
            <w:rFonts w:eastAsia="Times New Roman"/>
            <w:color w:val="0062B5"/>
            <w:u w:val="single"/>
          </w:rPr>
          <w:t>Responsibility</w:t>
        </w:r>
      </w:hyperlink>
    </w:p>
    <w:sectPr w:rsidR="00A31282" w:rsidRPr="00A3128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82"/>
    <w:rsid w:val="005E0C1F"/>
    <w:rsid w:val="00774C51"/>
    <w:rsid w:val="00A31282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180BC-1E08-46F9-B5D0-521AA81E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28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A31282"/>
    <w:rPr>
      <w:i/>
      <w:iCs/>
    </w:rPr>
  </w:style>
  <w:style w:type="character" w:styleId="Strong">
    <w:name w:val="Strong"/>
    <w:basedOn w:val="DefaultParagraphFont"/>
    <w:uiPriority w:val="22"/>
    <w:qFormat/>
    <w:rsid w:val="00A312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1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711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91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55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86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96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22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298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rk+2.18&amp;t=NKJV" TargetMode="External"/><Relationship Id="rId13" Type="http://schemas.openxmlformats.org/officeDocument/2006/relationships/hyperlink" Target="https://www.blueletterbible.org/search/preSearch.cfm?Criteria=Matthew+5.1&amp;t=NKJV" TargetMode="External"/><Relationship Id="rId18" Type="http://schemas.openxmlformats.org/officeDocument/2006/relationships/hyperlink" Target="https://www.blueletterbible.org/search/preSearch.cfm?Criteria=Matthew+14.22&amp;t=NKJV" TargetMode="External"/><Relationship Id="rId26" Type="http://schemas.openxmlformats.org/officeDocument/2006/relationships/hyperlink" Target="http://www.blueletterbible.org/search/preSearch.cfm?Criteria=Jeremiah+3.15&amp;t=NKJV" TargetMode="External"/><Relationship Id="rId39" Type="http://schemas.openxmlformats.org/officeDocument/2006/relationships/hyperlink" Target="http://www.blueletterbible.org/search/preSearch.cfm?Criteria=1Timothy+3.2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1Timothy+2.4&amp;t=NKJV" TargetMode="External"/><Relationship Id="rId34" Type="http://schemas.openxmlformats.org/officeDocument/2006/relationships/hyperlink" Target="http://www.blueletterbible.org/search/preSearch.cfm?Criteria=Acts+20.32&amp;t=NKJV" TargetMode="External"/><Relationship Id="rId42" Type="http://schemas.openxmlformats.org/officeDocument/2006/relationships/hyperlink" Target="http://www.blueletterbible.org/search/preSearch.cfm?Criteria=1Peter+5.2&amp;t=NKJV" TargetMode="External"/><Relationship Id="rId7" Type="http://schemas.openxmlformats.org/officeDocument/2006/relationships/hyperlink" Target="https://www.blueletterbible.org/search/preSearch.cfm?Criteria=Matthew+11.2&amp;t=NKJV" TargetMode="External"/><Relationship Id="rId12" Type="http://schemas.openxmlformats.org/officeDocument/2006/relationships/hyperlink" Target="https://www.blueletterbible.org/search/preSearch.cfm?Criteria=Mark+2.18&amp;t=NKJV" TargetMode="External"/><Relationship Id="rId17" Type="http://schemas.openxmlformats.org/officeDocument/2006/relationships/hyperlink" Target="https://www.blueletterbible.org/search/preSearch.cfm?Criteria=Matthew+11.1&amp;t=NKJV" TargetMode="External"/><Relationship Id="rId25" Type="http://schemas.openxmlformats.org/officeDocument/2006/relationships/hyperlink" Target="https://www.blueletterbible.org/search/preSearch.cfm?Criteria=Ephesians+5.26-27&amp;t=NKJV" TargetMode="External"/><Relationship Id="rId33" Type="http://schemas.openxmlformats.org/officeDocument/2006/relationships/hyperlink" Target="http://www.blueletterbible.org/search/preSearch.cfm?Criteria=Acts+20.27-28&amp;t=NKJV" TargetMode="External"/><Relationship Id="rId38" Type="http://schemas.openxmlformats.org/officeDocument/2006/relationships/hyperlink" Target="http://www.blueletterbible.org/search/preSearch.cfm?Criteria=Colossians+1.28&amp;t=NKJV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9.10&amp;t=NKJV" TargetMode="External"/><Relationship Id="rId20" Type="http://schemas.openxmlformats.org/officeDocument/2006/relationships/hyperlink" Target="https://www.blueletterbible.org/search/preSearch.cfm?Criteria=John+3.16&amp;t=NKJV" TargetMode="External"/><Relationship Id="rId29" Type="http://schemas.openxmlformats.org/officeDocument/2006/relationships/hyperlink" Target="http://www.blueletterbible.org/search/preSearch.cfm?Criteria=Ezekiel+34.23&amp;t=NKJV" TargetMode="External"/><Relationship Id="rId41" Type="http://schemas.openxmlformats.org/officeDocument/2006/relationships/hyperlink" Target="http://www.blueletterbible.org/search/preSearch.cfm?Criteria=2Timothy+4.2-4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28.18-20&amp;t=NKJV" TargetMode="External"/><Relationship Id="rId11" Type="http://schemas.openxmlformats.org/officeDocument/2006/relationships/hyperlink" Target="https://www.blueletterbible.org/search/preSearch.cfm?Criteria=John+3.25&amp;t=NKJV" TargetMode="External"/><Relationship Id="rId24" Type="http://schemas.openxmlformats.org/officeDocument/2006/relationships/hyperlink" Target="https://www.blueletterbible.org/search/preSearch.cfm?Criteria=John+17.17&amp;t=NKJV" TargetMode="External"/><Relationship Id="rId32" Type="http://schemas.openxmlformats.org/officeDocument/2006/relationships/hyperlink" Target="http://www.blueletterbible.org/search/preSearch.cfm?Criteria=Acts+20.20&amp;t=NKJV" TargetMode="External"/><Relationship Id="rId37" Type="http://schemas.openxmlformats.org/officeDocument/2006/relationships/hyperlink" Target="http://www.blueletterbible.org/search/preSearch.cfm?Criteria=Ephesians+4.11-15&amp;t=NKJV" TargetMode="External"/><Relationship Id="rId40" Type="http://schemas.openxmlformats.org/officeDocument/2006/relationships/hyperlink" Target="http://www.blueletterbible.org/search/preSearch.cfm?Criteria=1Timothy+4.11&amp;t=NKJV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Hebrews+5.12-14&amp;t=NKJV" TargetMode="External"/><Relationship Id="rId15" Type="http://schemas.openxmlformats.org/officeDocument/2006/relationships/hyperlink" Target="https://www.blueletterbible.org/search/preSearch.cfm?Criteria=Matthew+8.25&amp;t=NKJV" TargetMode="External"/><Relationship Id="rId23" Type="http://schemas.openxmlformats.org/officeDocument/2006/relationships/hyperlink" Target="https://www.blueletterbible.org/search/preSearch.cfm?Criteria=1John+2.2&amp;t=NKJV" TargetMode="External"/><Relationship Id="rId28" Type="http://schemas.openxmlformats.org/officeDocument/2006/relationships/hyperlink" Target="http://www.blueletterbible.org/search/preSearch.cfm?Criteria=Ezekiel+34.2-3&amp;t=NKJV" TargetMode="External"/><Relationship Id="rId36" Type="http://schemas.openxmlformats.org/officeDocument/2006/relationships/hyperlink" Target="http://www.blueletterbible.org/search/preSearch.cfm?Criteria=Ephesians+1.18&amp;t=NKJV" TargetMode="External"/><Relationship Id="rId10" Type="http://schemas.openxmlformats.org/officeDocument/2006/relationships/hyperlink" Target="https://www.blueletterbible.org/search/preSearch.cfm?Criteria=Luke+7.18&amp;t=NKJV" TargetMode="External"/><Relationship Id="rId19" Type="http://schemas.openxmlformats.org/officeDocument/2006/relationships/hyperlink" Target="https://www.blueletterbible.org/search/preSearch.cfm?Criteria=John+21.15-17&amp;t=NKJV" TargetMode="External"/><Relationship Id="rId31" Type="http://schemas.openxmlformats.org/officeDocument/2006/relationships/hyperlink" Target="http://www.blueletterbible.org/search/preSearch.cfm?Criteria=John+16.13&amp;t=NKJV" TargetMode="External"/><Relationship Id="rId44" Type="http://schemas.openxmlformats.org/officeDocument/2006/relationships/hyperlink" Target="http://bibleone.net/print_tbs114.html" TargetMode="Externa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Luke+5.33&amp;t=NKJV" TargetMode="External"/><Relationship Id="rId14" Type="http://schemas.openxmlformats.org/officeDocument/2006/relationships/hyperlink" Target="https://www.blueletterbible.org/search/preSearch.cfm?Criteria=Matthew+8.23&amp;t=NKJV" TargetMode="External"/><Relationship Id="rId22" Type="http://schemas.openxmlformats.org/officeDocument/2006/relationships/hyperlink" Target="https://www.blueletterbible.org/search/preSearch.cfm?Criteria=2Peter+3.9&amp;t=NKJV" TargetMode="External"/><Relationship Id="rId27" Type="http://schemas.openxmlformats.org/officeDocument/2006/relationships/hyperlink" Target="http://www.blueletterbible.org/search/preSearch.cfm?Criteria=Jeremiah+23.4&amp;t=NKJV" TargetMode="External"/><Relationship Id="rId30" Type="http://schemas.openxmlformats.org/officeDocument/2006/relationships/hyperlink" Target="http://www.blueletterbible.org/search/preSearch.cfm?Criteria=John+15.26&amp;t=NKJV" TargetMode="External"/><Relationship Id="rId35" Type="http://schemas.openxmlformats.org/officeDocument/2006/relationships/hyperlink" Target="http://www.blueletterbible.org/search/preSearch.cfm?Criteria=1Corinthians+14.20&amp;t=NKJV" TargetMode="External"/><Relationship Id="rId43" Type="http://schemas.openxmlformats.org/officeDocument/2006/relationships/hyperlink" Target="http://www.blueletterbible.org/search/preSearch.cfm?Criteria=Colossians+1.28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2020-09-13T15:49:00Z</dcterms:created>
  <dcterms:modified xsi:type="dcterms:W3CDTF">2020-09-13T16:05:00Z</dcterms:modified>
</cp:coreProperties>
</file>