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85400">
        <w:rPr>
          <w:rFonts w:eastAsia="Times New Roman"/>
          <w:b/>
          <w:bCs/>
          <w:color w:val="222222"/>
        </w:rPr>
        <w:t>Note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even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raised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body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covering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Glory.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Glory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did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enswathe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body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until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forty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days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later</w:t>
      </w:r>
      <w:r w:rsidRPr="00E85400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Cloud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received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Him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out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disciple’s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sight</w:t>
      </w:r>
      <w:r w:rsidRPr="00E85400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when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was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caught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up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into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Glory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[</w:t>
      </w:r>
      <w:hyperlink r:id="rId4" w:history="1">
        <w:r w:rsidRPr="00E85400">
          <w:rPr>
            <w:rFonts w:eastAsia="Times New Roman"/>
            <w:b/>
            <w:bCs/>
            <w:color w:val="0062B5"/>
            <w:u w:val="single"/>
          </w:rPr>
          <w:t>Acts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E85400">
          <w:rPr>
            <w:rFonts w:eastAsia="Times New Roman"/>
            <w:b/>
            <w:bCs/>
            <w:color w:val="0062B5"/>
            <w:u w:val="single"/>
          </w:rPr>
          <w:t>1:9</w:t>
        </w:r>
      </w:hyperlink>
      <w:r w:rsidRPr="00E85400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E85400">
          <w:rPr>
            <w:rFonts w:eastAsia="Times New Roman"/>
            <w:b/>
            <w:bCs/>
            <w:color w:val="0062B5"/>
            <w:u w:val="single"/>
          </w:rPr>
          <w:t>1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E85400">
          <w:rPr>
            <w:rFonts w:eastAsia="Times New Roman"/>
            <w:b/>
            <w:bCs/>
            <w:color w:val="0062B5"/>
            <w:u w:val="single"/>
          </w:rPr>
          <w:t>Timothy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E85400">
          <w:rPr>
            <w:rFonts w:eastAsia="Times New Roman"/>
            <w:b/>
            <w:bCs/>
            <w:color w:val="0062B5"/>
            <w:u w:val="single"/>
          </w:rPr>
          <w:t>3:16</w:t>
        </w:r>
      </w:hyperlink>
      <w:r w:rsidRPr="00E85400">
        <w:rPr>
          <w:rFonts w:eastAsia="Times New Roman"/>
          <w:b/>
          <w:bCs/>
          <w:color w:val="222222"/>
        </w:rPr>
        <w:t>].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85400">
        <w:rPr>
          <w:rFonts w:eastAsia="Times New Roman"/>
          <w:b/>
          <w:bCs/>
          <w:color w:val="222222"/>
        </w:rPr>
        <w:t>Rather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raised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spiritual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body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opposed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natural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same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body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had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placed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tomb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but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life-giving,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animating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principle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being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Spirit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rather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blood</w:t>
      </w:r>
      <w:r w:rsidRPr="00E85400">
        <w:rPr>
          <w:rFonts w:eastAsia="Times New Roman"/>
          <w:b/>
          <w:bCs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85400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blood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presently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mercy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seat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85400">
        <w:rPr>
          <w:rFonts w:eastAsia="Times New Roman"/>
          <w:b/>
          <w:bCs/>
          <w:i/>
          <w:iCs/>
          <w:color w:val="222222"/>
        </w:rPr>
        <w:t>heaven</w:t>
      </w:r>
      <w:r w:rsidRPr="00E85400">
        <w:rPr>
          <w:rFonts w:eastAsia="Times New Roman"/>
          <w:b/>
          <w:bCs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E85400">
        <w:rPr>
          <w:rFonts w:eastAsia="Times New Roman"/>
          <w:b/>
          <w:color w:val="222222"/>
          <w:sz w:val="32"/>
          <w:szCs w:val="32"/>
        </w:rPr>
        <w:t>Two Men at the Empty Tomb</w:t>
      </w:r>
      <w:r w:rsidRPr="00E85400">
        <w:rPr>
          <w:rFonts w:eastAsia="Times New Roman"/>
          <w:b/>
          <w:color w:val="222222"/>
          <w:sz w:val="32"/>
          <w:szCs w:val="32"/>
        </w:rPr>
        <w:br/>
      </w:r>
      <w:r w:rsidRPr="00E85400">
        <w:rPr>
          <w:rFonts w:eastAsia="Times New Roman"/>
          <w:bCs/>
          <w:i/>
          <w:iCs/>
          <w:color w:val="222222"/>
        </w:rPr>
        <w:t>That Which Scripture Reveals About These Two Men</w:t>
      </w:r>
      <w:r w:rsidRPr="00E85400">
        <w:rPr>
          <w:rFonts w:eastAsia="Times New Roman"/>
          <w:i/>
          <w:iCs/>
          <w:color w:val="222222"/>
        </w:rPr>
        <w:br/>
      </w:r>
      <w:proofErr w:type="gramStart"/>
      <w:r w:rsidRPr="00E85400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E85400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E85400">
        <w:rPr>
          <w:rFonts w:eastAsia="Times New Roman"/>
          <w:i/>
          <w:iCs/>
          <w:color w:val="222222"/>
        </w:rPr>
        <w:t>“Now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week,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early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morning,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sepulcher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spices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prepared,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others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them.</w:t>
      </w:r>
    </w:p>
    <w:p w:rsidR="00E85400" w:rsidRPr="00E85400" w:rsidRDefault="00E85400" w:rsidP="00E85400">
      <w:pPr>
        <w:shd w:val="clear" w:color="auto" w:fill="FFFFFF"/>
        <w:ind w:left="72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stone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rolled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sepulcher.</w:t>
      </w:r>
    </w:p>
    <w:p w:rsidR="00E85400" w:rsidRDefault="00E85400" w:rsidP="00E8540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bookmarkStart w:id="0" w:name="_GoBack"/>
      <w:bookmarkEnd w:id="0"/>
    </w:p>
    <w:p w:rsidR="00E85400" w:rsidRDefault="00E85400" w:rsidP="00E85400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entered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Jesus.</w:t>
      </w:r>
    </w:p>
    <w:p w:rsidR="00E85400" w:rsidRPr="00E85400" w:rsidRDefault="00E85400" w:rsidP="008E590F">
      <w:pPr>
        <w:shd w:val="clear" w:color="auto" w:fill="FFFFFF"/>
        <w:ind w:left="720"/>
        <w:rPr>
          <w:rFonts w:eastAsia="Times New Roman"/>
          <w:color w:val="222222"/>
        </w:rPr>
      </w:pPr>
    </w:p>
    <w:p w:rsidR="00E85400" w:rsidRDefault="00E85400" w:rsidP="008E590F">
      <w:pPr>
        <w:shd w:val="clear" w:color="auto" w:fill="FFFFFF"/>
        <w:ind w:left="72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pass,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perplexed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thereabout,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behold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stood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shining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garments”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7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24:1-4</w:t>
        </w:r>
      </w:hyperlink>
      <w:r w:rsidRPr="00E85400">
        <w:rPr>
          <w:rFonts w:eastAsia="Times New Roman"/>
          <w:color w:val="222222"/>
        </w:rPr>
        <w:t>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empty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tomb,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announcements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explanations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empty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angels)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reveals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well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shown),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E854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28:2-7</w:t>
        </w:r>
      </w:hyperlink>
      <w:r w:rsidRPr="00E8540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11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24:23</w:t>
        </w:r>
      </w:hyperlink>
      <w:r w:rsidRPr="00E8540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12" w:history="1">
        <w:r w:rsidRPr="00E8540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20:12</w:t>
        </w:r>
      </w:hyperlink>
      <w:r w:rsidRPr="00E8540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“young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Mark’s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13" w:history="1">
        <w:r w:rsidRPr="00E85400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16:5</w:t>
        </w:r>
      </w:hyperlink>
      <w:r w:rsidRPr="00E85400">
        <w:rPr>
          <w:rFonts w:eastAsia="Times New Roman"/>
          <w:color w:val="222222"/>
        </w:rPr>
        <w:t>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Conceivably,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Mark’s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“angels"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proofErr w:type="spellStart"/>
      <w:r w:rsidRPr="00E85400">
        <w:rPr>
          <w:rFonts w:eastAsia="Times New Roman"/>
          <w:b/>
          <w:bCs/>
          <w:i/>
          <w:iCs/>
          <w:color w:val="222222"/>
        </w:rPr>
        <w:t>Aggelos</w:t>
      </w:r>
      <w:proofErr w:type="spellEnd"/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E85400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transliterated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(there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proofErr w:type="spellStart"/>
      <w:proofErr w:type="gramStart"/>
      <w:r w:rsidRPr="00E85400">
        <w:rPr>
          <w:rFonts w:eastAsia="Times New Roman"/>
          <w:i/>
          <w:iCs/>
          <w:color w:val="222222"/>
        </w:rPr>
        <w:t>angelos</w:t>
      </w:r>
      <w:proofErr w:type="spellEnd"/>
      <w:proofErr w:type="gramEnd"/>
      <w:r w:rsidRPr="00E8540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N.T.).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E85400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“messenger”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“announcer.”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basic,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meaning,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vice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versa.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messenger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lastRenderedPageBreak/>
        <w:t>Aside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15" w:history="1">
        <w:r w:rsidRPr="00E854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11:10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E85400">
          <w:rPr>
            <w:rFonts w:eastAsia="Times New Roman"/>
            <w:color w:val="0062B5"/>
            <w:u w:val="single"/>
          </w:rPr>
          <w:t>Mark.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1:2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7:24</w:t>
        </w:r>
      </w:hyperlink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E85400">
          <w:rPr>
            <w:rFonts w:eastAsia="Times New Roman"/>
            <w:color w:val="0062B5"/>
            <w:u w:val="single"/>
          </w:rPr>
          <w:t>27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E85400">
          <w:rPr>
            <w:rFonts w:eastAsia="Times New Roman"/>
            <w:color w:val="0062B5"/>
            <w:u w:val="single"/>
          </w:rPr>
          <w:t>9:52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E85400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2:25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proofErr w:type="spellStart"/>
      <w:r w:rsidRPr="00E85400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“messenger”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 w:rsidRPr="00E85400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cited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usages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aggelos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“angels”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messengers.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realm.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E85400">
        <w:rPr>
          <w:rFonts w:eastAsia="Times New Roman"/>
          <w:b/>
          <w:bCs/>
          <w:i/>
          <w:iCs/>
          <w:color w:val="222222"/>
        </w:rPr>
        <w:t>Anthropos,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proofErr w:type="spellStart"/>
      <w:r w:rsidRPr="00E85400">
        <w:rPr>
          <w:rFonts w:eastAsia="Times New Roman"/>
          <w:b/>
          <w:bCs/>
          <w:i/>
          <w:iCs/>
          <w:color w:val="222222"/>
        </w:rPr>
        <w:t>Aner</w:t>
      </w:r>
      <w:proofErr w:type="spellEnd"/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Anthropos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“man”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Anthropos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distinguishable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minute.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plural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“men”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E854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ascension).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“men,”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E854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exceptions,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commentators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r w:rsidRPr="00E85400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i/>
          <w:iCs/>
          <w:color w:val="222222"/>
        </w:rPr>
        <w:t xml:space="preserve"> </w:t>
      </w:r>
      <w:hyperlink r:id="rId25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18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E85400">
          <w:rPr>
            <w:rFonts w:eastAsia="Times New Roman"/>
            <w:color w:val="0062B5"/>
            <w:u w:val="single"/>
          </w:rPr>
          <w:t>19</w:t>
        </w:r>
      </w:hyperlink>
      <w:r w:rsidRPr="00E85400">
        <w:rPr>
          <w:rFonts w:eastAsia="Times New Roman"/>
          <w:color w:val="222222"/>
        </w:rPr>
        <w:t>]).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aner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E854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incorrect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identified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well.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85400">
        <w:rPr>
          <w:rFonts w:eastAsia="Times New Roman"/>
          <w:b/>
          <w:bCs/>
          <w:color w:val="222222"/>
        </w:rPr>
        <w:t>Clearly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Revealed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Men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thrust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matter),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background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restoration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disqualified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provincial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(Satan),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ruler’s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(redemption,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today</w:t>
      </w:r>
      <w:r w:rsidRPr="00E8540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beginning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commentary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verses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regained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beginning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sinned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Eden,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state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evil,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“thou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it: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eatest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thereof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surely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die”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30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2:17</w:t>
        </w:r>
      </w:hyperlink>
      <w:r w:rsidRPr="00E85400">
        <w:rPr>
          <w:rFonts w:eastAsia="Times New Roman"/>
          <w:color w:val="222222"/>
        </w:rPr>
        <w:t>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deceived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eating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</w:t>
      </w:r>
      <w:r w:rsidRPr="00E85400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husband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her;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eat</w:t>
      </w:r>
      <w:r w:rsidRPr="00E85400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opened,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naked;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sewed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fig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leaves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aprons”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31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3:1-7</w:t>
        </w:r>
      </w:hyperlink>
      <w:r w:rsidRPr="00E85400">
        <w:rPr>
          <w:rFonts w:eastAsia="Times New Roman"/>
          <w:color w:val="222222"/>
        </w:rPr>
        <w:t>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something</w:t>
      </w:r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recognized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fact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pristine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lastRenderedPageBreak/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bodies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twofold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condition</w:t>
      </w:r>
      <w:r w:rsidRPr="00E85400">
        <w:rPr>
          <w:rFonts w:eastAsia="Times New Roman"/>
          <w:color w:val="222222"/>
        </w:rPr>
        <w:t>: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Naked.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God.</w:t>
      </w: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“light,”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</w:t>
      </w:r>
      <w:proofErr w:type="spellStart"/>
      <w:r w:rsidRPr="00E85400">
        <w:rPr>
          <w:rFonts w:eastAsia="Times New Roman"/>
          <w:color w:val="222222"/>
        </w:rPr>
        <w:t>honour</w:t>
      </w:r>
      <w:proofErr w:type="spellEnd"/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majesty.”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similar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E85400">
        <w:rPr>
          <w:rFonts w:eastAsia="Times New Roman"/>
          <w:i/>
          <w:iCs/>
          <w:color w:val="222222"/>
        </w:rPr>
        <w:t>“Bless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soul.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great;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[‘you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on’]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majesty.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coverest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thyself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garment: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stretchest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curtain”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32" w:history="1">
        <w:r w:rsidRPr="00E8540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104:1-2</w:t>
        </w:r>
      </w:hyperlink>
      <w:r w:rsidRPr="00E85400">
        <w:rPr>
          <w:rFonts w:eastAsia="Times New Roman"/>
          <w:color w:val="222222"/>
        </w:rPr>
        <w:t>).</w:t>
      </w: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Recognizing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naked,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hands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leaf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aprons.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inadequacy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sought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hide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finding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hands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feeble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atone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replace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pristine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fig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leaves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creature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unfallen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today</w:t>
      </w:r>
      <w:r w:rsidRPr="00E8540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consisting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animal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skins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33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3:21</w:t>
        </w:r>
      </w:hyperlink>
      <w:r w:rsidRPr="00E8540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necessitated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shedding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blood</w:t>
      </w:r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herein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lie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basic,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truths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redemption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Unredeemed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creature,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alienated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redemption: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intervention.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blood.</w:t>
      </w: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forever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change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2:25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[before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3:7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[after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fall].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hyperlink r:id="rId36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3:7</w:t>
        </w:r>
      </w:hyperlink>
      <w:r w:rsidRPr="00E8540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absolute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nakedness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former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hyperlink r:id="rId37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2:25</w:t>
        </w:r>
      </w:hyperlink>
      <w:r w:rsidRPr="00E85400">
        <w:rPr>
          <w:rFonts w:eastAsia="Times New Roman"/>
          <w:color w:val="222222"/>
        </w:rPr>
        <w:t>].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dressed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nakedness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hyperlink r:id="rId38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2:25</w:t>
        </w:r>
      </w:hyperlink>
      <w:r w:rsidRPr="00E85400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tunic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[inner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garment]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lacking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mantle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cloak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[outer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garment].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possess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worn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[fulfilling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39" w:history="1">
        <w:r w:rsidRPr="00E8540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1:26-28</w:t>
        </w:r>
      </w:hyperlink>
      <w:r w:rsidRPr="00E85400">
        <w:rPr>
          <w:rFonts w:eastAsia="Times New Roman"/>
          <w:color w:val="222222"/>
        </w:rPr>
        <w:t>)].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lastRenderedPageBreak/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further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wear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[royal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apparel].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wore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sceptre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moved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description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40" w:history="1">
        <w:r w:rsidRPr="00E85400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E85400">
          <w:rPr>
            <w:rFonts w:eastAsia="Times New Roman"/>
            <w:i/>
            <w:iCs/>
            <w:color w:val="0062B5"/>
            <w:u w:val="single"/>
          </w:rPr>
          <w:t>2:25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“naked”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condition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“naked”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r w:rsidRPr="00E85400">
        <w:rPr>
          <w:rFonts w:eastAsia="Times New Roman"/>
          <w:i/>
          <w:iCs/>
          <w:color w:val="222222"/>
        </w:rPr>
        <w:t>lacking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 w:rsidRPr="00E85400">
        <w:rPr>
          <w:rFonts w:eastAsia="Times New Roman"/>
          <w:color w:val="222222"/>
        </w:rPr>
        <w:t>].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fulfill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creation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act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occur;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spirit,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soul,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restoration</w:t>
      </w:r>
      <w:r w:rsidRPr="00E85400">
        <w:rPr>
          <w:rFonts w:eastAsia="Times New Roman"/>
          <w:color w:val="222222"/>
        </w:rPr>
        <w:t>.)</w:t>
      </w: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41" w:anchor="Coverings%20of%20Glory,%20Adam%20and%20Eve's" w:history="1">
        <w:r w:rsidRPr="00E85400">
          <w:rPr>
            <w:rFonts w:eastAsia="Times New Roman"/>
            <w:color w:val="4F81BD"/>
            <w:u w:val="single"/>
          </w:rPr>
          <w:t>Coverings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of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Glory,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Adam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and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Eve's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2" w:anchor="Adam%20and%20Eve%20Questions%20Answered" w:history="1">
        <w:r w:rsidRPr="00E85400">
          <w:rPr>
            <w:rFonts w:eastAsia="Times New Roman"/>
            <w:color w:val="4F81BD"/>
            <w:u w:val="single"/>
          </w:rPr>
          <w:t>Adam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and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Eve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Questions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E85400">
          <w:rPr>
            <w:rFonts w:eastAsia="Times New Roman"/>
            <w:color w:val="4F81BD"/>
            <w:u w:val="single"/>
          </w:rPr>
          <w:t>Answered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site.</w:t>
      </w: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furnishes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background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tomb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foremost,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“shining,”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“garments”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proofErr w:type="spellStart"/>
      <w:r w:rsidRPr="00E85400">
        <w:rPr>
          <w:rFonts w:eastAsia="Times New Roman"/>
          <w:i/>
          <w:iCs/>
          <w:color w:val="222222"/>
        </w:rPr>
        <w:t>astrapto</w:t>
      </w:r>
      <w:proofErr w:type="spellEnd"/>
      <w:r w:rsidRPr="00E8540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garments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transfigured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“…his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raiment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glistening”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44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9:29</w:t>
        </w:r>
      </w:hyperlink>
      <w:r w:rsidRPr="00E8540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Elijah,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raiment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45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9:30-31</w:t>
        </w:r>
      </w:hyperlink>
      <w:r w:rsidRPr="00E85400">
        <w:rPr>
          <w:rFonts w:eastAsia="Times New Roman"/>
          <w:color w:val="222222"/>
        </w:rPr>
        <w:t>).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(There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astrapto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9:29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[trans.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“glistening”]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[trans.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“shining”].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9</w:t>
        </w:r>
      </w:hyperlink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proofErr w:type="spellStart"/>
      <w:r w:rsidRPr="00E85400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“out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from,”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added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shining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Christ</w:t>
      </w:r>
      <w:r w:rsidRPr="00E85400">
        <w:rPr>
          <w:rFonts w:eastAsia="Times New Roman"/>
          <w:color w:val="222222"/>
        </w:rPr>
        <w:t>.)</w:t>
      </w: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raiment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Adam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Eve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fall</w:t>
      </w:r>
      <w:r w:rsidRPr="00E85400">
        <w:rPr>
          <w:rFonts w:eastAsia="Times New Roman"/>
          <w:color w:val="222222"/>
        </w:rPr>
        <w:t>.</w:t>
      </w: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creation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“likeness”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God</w:t>
      </w:r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“likeness,”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purpose,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regal</w:t>
      </w:r>
      <w:r w:rsidRPr="00E85400">
        <w:rPr>
          <w:rFonts w:eastAsia="Times New Roman"/>
          <w:color w:val="222222"/>
        </w:rPr>
        <w:t>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“image”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“likeness.”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reserved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alone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empty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tomb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E8540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24:4</w:t>
        </w:r>
      </w:hyperlink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upon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states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“men.”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85400">
        <w:rPr>
          <w:rFonts w:eastAsia="Times New Roman"/>
          <w:b/>
          <w:bCs/>
          <w:color w:val="222222"/>
        </w:rPr>
        <w:t>Clearly</w:t>
      </w:r>
      <w:r>
        <w:rPr>
          <w:rFonts w:eastAsia="Times New Roman"/>
          <w:b/>
          <w:bCs/>
          <w:color w:val="222222"/>
        </w:rPr>
        <w:t xml:space="preserve"> </w:t>
      </w:r>
      <w:r w:rsidRPr="00E85400">
        <w:rPr>
          <w:rFonts w:eastAsia="Times New Roman"/>
          <w:b/>
          <w:bCs/>
          <w:color w:val="222222"/>
        </w:rPr>
        <w:t>Identified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identified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identified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well</w:t>
      </w:r>
      <w:r w:rsidRPr="00E85400">
        <w:rPr>
          <w:rFonts w:eastAsia="Times New Roman"/>
          <w:color w:val="222222"/>
        </w:rPr>
        <w:t>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leading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Calvary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Enoch,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Elijah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others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lastRenderedPageBreak/>
        <w:t>(unlike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hyperlink r:id="rId50" w:history="1">
        <w:r w:rsidRPr="00E85400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1:9</w:t>
        </w:r>
      </w:hyperlink>
      <w:r w:rsidRPr="00E85400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today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dead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bodies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considered;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enswathed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glory).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enswathe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forty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later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Cloud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disciple’s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sight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caught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[</w:t>
      </w:r>
      <w:hyperlink r:id="rId51" w:history="1">
        <w:r w:rsidRPr="00E854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1:9</w:t>
        </w:r>
      </w:hyperlink>
      <w:r w:rsidRPr="00E8540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E8540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3:16</w:t>
        </w:r>
      </w:hyperlink>
      <w:r w:rsidRPr="00E85400">
        <w:rPr>
          <w:rFonts w:eastAsia="Times New Roman"/>
          <w:color w:val="222222"/>
        </w:rPr>
        <w:t>].</w:t>
      </w:r>
    </w:p>
    <w:p w:rsidR="003A73DA" w:rsidRPr="00E85400" w:rsidRDefault="003A73DA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tomb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life-giving,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animating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blood</w:t>
      </w:r>
      <w:r w:rsidRPr="00E85400">
        <w:rPr>
          <w:rFonts w:eastAsia="Times New Roman"/>
          <w:color w:val="222222"/>
        </w:rPr>
        <w:t>.</w:t>
      </w:r>
    </w:p>
    <w:p w:rsidR="003A73DA" w:rsidRPr="00E85400" w:rsidRDefault="003A73DA" w:rsidP="00E85400">
      <w:pPr>
        <w:shd w:val="clear" w:color="auto" w:fill="FFFFFF"/>
        <w:ind w:left="60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60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mercy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heaven</w:t>
      </w:r>
      <w:r w:rsidRPr="00E85400">
        <w:rPr>
          <w:rFonts w:eastAsia="Times New Roman"/>
          <w:color w:val="222222"/>
        </w:rPr>
        <w:t>.)</w:t>
      </w:r>
    </w:p>
    <w:p w:rsidR="003A73DA" w:rsidRDefault="003A73DA" w:rsidP="00E8540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Enoch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Glory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Elijah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Mount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E854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17:1-5</w:t>
        </w:r>
      </w:hyperlink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Mount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Olives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ascended</w:t>
      </w:r>
      <w:r w:rsidRPr="00E8540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color w:val="222222"/>
        </w:rPr>
        <w:t>(</w:t>
      </w:r>
      <w:hyperlink r:id="rId54" w:history="1">
        <w:r w:rsidRPr="00E8540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1:11</w:t>
        </w:r>
      </w:hyperlink>
      <w:r w:rsidRPr="00E8540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Elijah</w:t>
      </w:r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E854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17:1-5</w:t>
        </w:r>
      </w:hyperlink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identified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85400">
        <w:rPr>
          <w:rFonts w:eastAsia="Times New Roman"/>
          <w:i/>
          <w:iCs/>
          <w:color w:val="222222"/>
        </w:rPr>
        <w:t>Elijah</w:t>
      </w:r>
      <w:r w:rsidRPr="00E85400">
        <w:rPr>
          <w:rFonts w:eastAsia="Times New Roman"/>
          <w:color w:val="222222"/>
        </w:rPr>
        <w:t>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empty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tomb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period).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day.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I</w:t>
      </w:r>
      <w:r w:rsidR="00E85400" w:rsidRPr="00E85400">
        <w:rPr>
          <w:rFonts w:eastAsia="Times New Roman"/>
          <w:color w:val="222222"/>
        </w:rPr>
        <w:t>n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pamphlet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form:</w:t>
      </w:r>
      <w:r w:rsidR="00E85400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hyperlink r:id="rId56" w:history="1">
        <w:r w:rsidR="00E85400" w:rsidRPr="00E85400">
          <w:rPr>
            <w:rFonts w:eastAsia="Times New Roman"/>
            <w:color w:val="0062B5"/>
            <w:u w:val="single"/>
          </w:rPr>
          <w:t>Lamp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Broadcast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-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Two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Men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at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the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Empty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Tomb,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After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Two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Days,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on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the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Third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Day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by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Arlen</w:t>
        </w:r>
        <w:r w:rsidR="00E85400">
          <w:rPr>
            <w:rFonts w:eastAsia="Times New Roman"/>
            <w:color w:val="0062B5"/>
            <w:u w:val="single"/>
          </w:rPr>
          <w:t xml:space="preserve"> </w:t>
        </w:r>
        <w:r w:rsidR="00E85400" w:rsidRPr="00E85400">
          <w:rPr>
            <w:rFonts w:eastAsia="Times New Roman"/>
            <w:color w:val="0062B5"/>
            <w:u w:val="single"/>
          </w:rPr>
          <w:t>Chitwood.pdf</w:t>
        </w:r>
      </w:hyperlink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designed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for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printing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on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letter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size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paper,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both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front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and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back;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then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folded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into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pocket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size</w:t>
      </w:r>
      <w:r w:rsidR="00E85400">
        <w:rPr>
          <w:rFonts w:eastAsia="Times New Roman"/>
          <w:color w:val="222222"/>
        </w:rPr>
        <w:t xml:space="preserve"> </w:t>
      </w:r>
      <w:r w:rsidR="00E85400" w:rsidRPr="00E85400">
        <w:rPr>
          <w:rFonts w:eastAsia="Times New Roman"/>
          <w:color w:val="222222"/>
        </w:rPr>
        <w:t>fit.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E8540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17:1-5</w:t>
        </w:r>
      </w:hyperlink>
      <w:r w:rsidRPr="00E8540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8" w:anchor="The%20Son%20of%20Man%20Coming%20in%20His%20Kingdom" w:history="1">
        <w:r w:rsidRPr="00E85400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Son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Man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Coming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His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Kingdom</w:t>
        </w:r>
      </w:hyperlink>
      <w:r>
        <w:rPr>
          <w:rFonts w:eastAsia="Times New Roman"/>
          <w:color w:val="2F5597"/>
        </w:rPr>
        <w:t xml:space="preserve"> </w:t>
      </w:r>
      <w:r w:rsidRPr="00E8540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website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pamphlets,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“</w:t>
      </w:r>
      <w:hyperlink r:id="rId59" w:history="1">
        <w:r w:rsidRPr="00E85400">
          <w:rPr>
            <w:rFonts w:eastAsia="Times New Roman"/>
            <w:color w:val="0062B5"/>
            <w:u w:val="single"/>
          </w:rPr>
          <w:t>Coming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His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Kingdom</w:t>
        </w:r>
      </w:hyperlink>
      <w:r w:rsidRPr="00E85400">
        <w:rPr>
          <w:rFonts w:eastAsia="Times New Roman"/>
          <w:color w:val="222222"/>
        </w:rPr>
        <w:t>".)</w:t>
      </w:r>
    </w:p>
    <w:p w:rsidR="003A73DA" w:rsidRPr="00E85400" w:rsidRDefault="003A73DA" w:rsidP="00E85400">
      <w:pPr>
        <w:shd w:val="clear" w:color="auto" w:fill="FFFFFF"/>
        <w:ind w:left="0"/>
        <w:rPr>
          <w:rFonts w:eastAsia="Times New Roman"/>
          <w:color w:val="222222"/>
        </w:rPr>
      </w:pPr>
    </w:p>
    <w:p w:rsidR="00E85400" w:rsidRPr="00E85400" w:rsidRDefault="00E85400" w:rsidP="00E85400">
      <w:pPr>
        <w:shd w:val="clear" w:color="auto" w:fill="FFFFFF"/>
        <w:ind w:left="0"/>
        <w:rPr>
          <w:rFonts w:eastAsia="Times New Roman"/>
          <w:color w:val="222222"/>
        </w:rPr>
      </w:pPr>
      <w:r w:rsidRPr="00E8540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85400">
        <w:rPr>
          <w:rFonts w:eastAsia="Times New Roman"/>
          <w:color w:val="222222"/>
        </w:rPr>
        <w:t>print:</w:t>
      </w:r>
      <w:r>
        <w:rPr>
          <w:rFonts w:eastAsia="Times New Roman"/>
          <w:color w:val="222222"/>
        </w:rPr>
        <w:t xml:space="preserve">  </w:t>
      </w:r>
      <w:hyperlink r:id="rId60" w:history="1">
        <w:r w:rsidRPr="00E85400">
          <w:rPr>
            <w:rFonts w:eastAsia="Times New Roman"/>
            <w:color w:val="0062B5"/>
            <w:u w:val="single"/>
          </w:rPr>
          <w:t>Son,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Man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Coming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His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Kingdom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Parts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III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L.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85400">
          <w:rPr>
            <w:rFonts w:eastAsia="Times New Roman"/>
            <w:color w:val="0062B5"/>
            <w:u w:val="single"/>
          </w:rPr>
          <w:t>Chitwood.docx</w:t>
        </w:r>
      </w:hyperlink>
    </w:p>
    <w:p w:rsidR="00B51BB6" w:rsidRPr="00E85400" w:rsidRDefault="00B51BB6" w:rsidP="00E85400">
      <w:pPr>
        <w:ind w:left="0"/>
      </w:pPr>
    </w:p>
    <w:sectPr w:rsidR="00B51BB6" w:rsidRPr="00E8540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00"/>
    <w:rsid w:val="003A73DA"/>
    <w:rsid w:val="00774C51"/>
    <w:rsid w:val="008E590F"/>
    <w:rsid w:val="00B51BB6"/>
    <w:rsid w:val="00E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4623-F241-468F-8CE1-4127E995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4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854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54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5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7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86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4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76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8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3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6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44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994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9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948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Mark+16.5&amp;t=NKJV" TargetMode="External"/><Relationship Id="rId18" Type="http://schemas.openxmlformats.org/officeDocument/2006/relationships/hyperlink" Target="https://www.blueletterbible.org/search/preSearch.cfm?Criteria=Luke+7.27&amp;t=NKJV" TargetMode="External"/><Relationship Id="rId26" Type="http://schemas.openxmlformats.org/officeDocument/2006/relationships/hyperlink" Target="https://www.blueletterbible.org/search/preSearch.cfm?Criteria=Genesis+19&amp;t=NKJV" TargetMode="External"/><Relationship Id="rId39" Type="http://schemas.openxmlformats.org/officeDocument/2006/relationships/hyperlink" Target="https://www.blueletterbible.org/search/preSearch.cfm?Criteria=Genesis+1.26-28&amp;t=NKJV" TargetMode="External"/><Relationship Id="rId21" Type="http://schemas.openxmlformats.org/officeDocument/2006/relationships/hyperlink" Target="https://www.blueletterbible.org/search/preSearch.cfm?Criteria=Luke+24.4&amp;t=NKJV" TargetMode="External"/><Relationship Id="rId34" Type="http://schemas.openxmlformats.org/officeDocument/2006/relationships/hyperlink" Target="https://www.blueletterbible.org/search/preSearch.cfm?Criteria=Genesis+2.25&amp;t=NKJV" TargetMode="External"/><Relationship Id="rId42" Type="http://schemas.openxmlformats.org/officeDocument/2006/relationships/hyperlink" Target="https://www.koffeekupkandor.com/gods-word-two.php" TargetMode="External"/><Relationship Id="rId47" Type="http://schemas.openxmlformats.org/officeDocument/2006/relationships/hyperlink" Target="https://www.blueletterbible.org/search/preSearch.cfm?Criteria=Luke+24.4&amp;t=NKJV" TargetMode="External"/><Relationship Id="rId50" Type="http://schemas.openxmlformats.org/officeDocument/2006/relationships/hyperlink" Target="https://www.blueletterbible.org/search/preSearch.cfm?Criteria=Jude+1.9&amp;t=NKJV" TargetMode="External"/><Relationship Id="rId55" Type="http://schemas.openxmlformats.org/officeDocument/2006/relationships/hyperlink" Target="https://www.blueletterbible.org/search/preSearch.cfm?Criteria=Matthew+17.1-5&amp;t=NKJV" TargetMode="External"/><Relationship Id="rId7" Type="http://schemas.openxmlformats.org/officeDocument/2006/relationships/hyperlink" Target="https://www.blueletterbible.org/search/preSearch.cfm?Criteria=Luke+24.1-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rk.+1.2&amp;t=NKJV" TargetMode="External"/><Relationship Id="rId20" Type="http://schemas.openxmlformats.org/officeDocument/2006/relationships/hyperlink" Target="https://www.blueletterbible.org/search/preSearch.cfm?Criteria=James+2.25&amp;t=NKJV" TargetMode="External"/><Relationship Id="rId29" Type="http://schemas.openxmlformats.org/officeDocument/2006/relationships/hyperlink" Target="https://www.blueletterbible.org/search/preSearch.cfm?Criteria=Luke+24.4&amp;t=NKJV" TargetMode="External"/><Relationship Id="rId41" Type="http://schemas.openxmlformats.org/officeDocument/2006/relationships/hyperlink" Target="https://www.koffeekupkandor.com/gods-word-two.php" TargetMode="External"/><Relationship Id="rId54" Type="http://schemas.openxmlformats.org/officeDocument/2006/relationships/hyperlink" Target="https://www.blueletterbible.org/search/preSearch.cfm?Criteria=Acts+1.11&amp;t=NKJV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Luke+24.23&amp;t=NKJV" TargetMode="External"/><Relationship Id="rId24" Type="http://schemas.openxmlformats.org/officeDocument/2006/relationships/hyperlink" Target="https://www.blueletterbible.org/search/preSearch.cfm?Criteria=Acts+1.10&amp;t=NKJV" TargetMode="External"/><Relationship Id="rId32" Type="http://schemas.openxmlformats.org/officeDocument/2006/relationships/hyperlink" Target="https://www.blueletterbible.org/search/preSearch.cfm?Criteria=Psalm+104.1-2&amp;t=NKJV" TargetMode="External"/><Relationship Id="rId37" Type="http://schemas.openxmlformats.org/officeDocument/2006/relationships/hyperlink" Target="https://www.blueletterbible.org/search/preSearch.cfm?Criteria=Genesis+2.25&amp;t=NKJV" TargetMode="External"/><Relationship Id="rId40" Type="http://schemas.openxmlformats.org/officeDocument/2006/relationships/hyperlink" Target="https://www.blueletterbible.org/search/preSearch.cfm?Criteria=Genesis+2.25&amp;t=NKJV" TargetMode="External"/><Relationship Id="rId45" Type="http://schemas.openxmlformats.org/officeDocument/2006/relationships/hyperlink" Target="https://www.blueletterbible.org/search/preSearch.cfm?Criteria=Luke+9.30-31&amp;t=NKJV" TargetMode="External"/><Relationship Id="rId53" Type="http://schemas.openxmlformats.org/officeDocument/2006/relationships/hyperlink" Target="https://www.blueletterbible.org/search/preSearch.cfm?Criteria=Matthew+17.1-5&amp;t=NKJV" TargetMode="External"/><Relationship Id="rId58" Type="http://schemas.openxmlformats.org/officeDocument/2006/relationships/hyperlink" Target="https://www.koffeekupkandor.com/gods-word-two.php" TargetMode="External"/><Relationship Id="rId5" Type="http://schemas.openxmlformats.org/officeDocument/2006/relationships/hyperlink" Target="https://www.blueletterbible.org/search/preSearch.cfm?Criteria=1Timothy+3.16&amp;t=NKJV" TargetMode="External"/><Relationship Id="rId15" Type="http://schemas.openxmlformats.org/officeDocument/2006/relationships/hyperlink" Target="https://www.blueletterbible.org/search/preSearch.cfm?Criteria=Matthew+11.10&amp;t=NKJV" TargetMode="External"/><Relationship Id="rId23" Type="http://schemas.openxmlformats.org/officeDocument/2006/relationships/hyperlink" Target="https://www.blueletterbible.org/search/preSearch.cfm?Criteria=Luke+24.4&amp;t=NKJV" TargetMode="External"/><Relationship Id="rId28" Type="http://schemas.openxmlformats.org/officeDocument/2006/relationships/hyperlink" Target="https://www.blueletterbible.org/search/preSearch.cfm?Criteria=Acts+1.10&amp;t=NKJV" TargetMode="External"/><Relationship Id="rId36" Type="http://schemas.openxmlformats.org/officeDocument/2006/relationships/hyperlink" Target="https://www.blueletterbible.org/search/preSearch.cfm?Criteria=Genesis+3.7&amp;t=NKJV" TargetMode="External"/><Relationship Id="rId49" Type="http://schemas.openxmlformats.org/officeDocument/2006/relationships/hyperlink" Target="https://www.blueletterbible.org/search/preSearch.cfm?Criteria=Luke+24.4&amp;t=NKJV" TargetMode="External"/><Relationship Id="rId57" Type="http://schemas.openxmlformats.org/officeDocument/2006/relationships/hyperlink" Target="https://www.blueletterbible.org/search/preSearch.cfm?Criteria=Matthew+17.1-5&amp;t=NKJV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Matthew+28.2-7&amp;t=NKJV" TargetMode="External"/><Relationship Id="rId19" Type="http://schemas.openxmlformats.org/officeDocument/2006/relationships/hyperlink" Target="https://www.blueletterbible.org/search/preSearch.cfm?Criteria=Luke+9.52&amp;t=NKJV" TargetMode="External"/><Relationship Id="rId31" Type="http://schemas.openxmlformats.org/officeDocument/2006/relationships/hyperlink" Target="https://www.blueletterbible.org/search/preSearch.cfm?Criteria=Genesis+3.1-7&amp;t=NKJV" TargetMode="External"/><Relationship Id="rId44" Type="http://schemas.openxmlformats.org/officeDocument/2006/relationships/hyperlink" Target="https://www.blueletterbible.org/search/preSearch.cfm?Criteria=Luke+9.29&amp;t=NKJV" TargetMode="External"/><Relationship Id="rId52" Type="http://schemas.openxmlformats.org/officeDocument/2006/relationships/hyperlink" Target="https://www.blueletterbible.org/search/preSearch.cfm?Criteria=1Timothy+3.16&amp;t=NKJV" TargetMode="External"/><Relationship Id="rId60" Type="http://schemas.openxmlformats.org/officeDocument/2006/relationships/hyperlink" Target="https://www.koffeekupkandor.com/resources/Son%2C%20The%20of%20Man%20Coming%20in%20His%20Kingdom%20Parts%20I%2C%20II%20and%20III%20by%20Arlen%20L.%20Chitwood.docx" TargetMode="External"/><Relationship Id="rId4" Type="http://schemas.openxmlformats.org/officeDocument/2006/relationships/hyperlink" Target="https://www.blueletterbible.org/search/preSearch.cfm?Criteria=Acts+1.9&amp;t=NKJV" TargetMode="External"/><Relationship Id="rId9" Type="http://schemas.openxmlformats.org/officeDocument/2006/relationships/hyperlink" Target="https://www.blueletterbible.org/search/preSearch.cfm?Criteria=Luke+24.4&amp;t=NKJV" TargetMode="External"/><Relationship Id="rId14" Type="http://schemas.openxmlformats.org/officeDocument/2006/relationships/hyperlink" Target="https://www.blueletterbible.org/search/preSearch.cfm?Criteria=Luke+24.4&amp;t=NKJV" TargetMode="External"/><Relationship Id="rId22" Type="http://schemas.openxmlformats.org/officeDocument/2006/relationships/hyperlink" Target="https://www.blueletterbible.org/search/preSearch.cfm?Criteria=Acts+1.10&amp;t=NKJV" TargetMode="External"/><Relationship Id="rId27" Type="http://schemas.openxmlformats.org/officeDocument/2006/relationships/hyperlink" Target="https://www.blueletterbible.org/search/preSearch.cfm?Criteria=Luke+24.4&amp;t=NKJV" TargetMode="External"/><Relationship Id="rId30" Type="http://schemas.openxmlformats.org/officeDocument/2006/relationships/hyperlink" Target="https://www.blueletterbible.org/search/preSearch.cfm?Criteria=Genesis+2.17&amp;t=NKJV" TargetMode="External"/><Relationship Id="rId35" Type="http://schemas.openxmlformats.org/officeDocument/2006/relationships/hyperlink" Target="https://www.blueletterbible.org/search/preSearch.cfm?Criteria=Genesis+3.7&amp;t=NKJV" TargetMode="External"/><Relationship Id="rId43" Type="http://schemas.openxmlformats.org/officeDocument/2006/relationships/hyperlink" Target="https://www.blueletterbible.org/search/preSearch.cfm?Criteria=Luke+24.4&amp;t=NKJV" TargetMode="External"/><Relationship Id="rId48" Type="http://schemas.openxmlformats.org/officeDocument/2006/relationships/hyperlink" Target="https://www.blueletterbible.org/search/preSearch.cfm?Criteria=Luke+9&amp;t=NKJV" TargetMode="External"/><Relationship Id="rId56" Type="http://schemas.openxmlformats.org/officeDocument/2006/relationships/hyperlink" Target="http://lampbroadcast.org/plets/ppdf9/TwoMenAttheEmptyTomb.pdf" TargetMode="External"/><Relationship Id="rId8" Type="http://schemas.openxmlformats.org/officeDocument/2006/relationships/hyperlink" Target="https://www.blueletterbible.org/search/preSearch.cfm?Criteria=Luke+24.4&amp;t=NKJV" TargetMode="External"/><Relationship Id="rId51" Type="http://schemas.openxmlformats.org/officeDocument/2006/relationships/hyperlink" Target="https://www.blueletterbible.org/search/preSearch.cfm?Criteria=Acts+1.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ohn+20.12&amp;t=NKJV" TargetMode="External"/><Relationship Id="rId17" Type="http://schemas.openxmlformats.org/officeDocument/2006/relationships/hyperlink" Target="https://www.blueletterbible.org/search/preSearch.cfm?Criteria=Luke+7.24&amp;t=NKJV" TargetMode="External"/><Relationship Id="rId25" Type="http://schemas.openxmlformats.org/officeDocument/2006/relationships/hyperlink" Target="https://www.blueletterbible.org/search/preSearch.cfm?Criteria=Genesis+18&amp;t=NKJV" TargetMode="External"/><Relationship Id="rId33" Type="http://schemas.openxmlformats.org/officeDocument/2006/relationships/hyperlink" Target="https://www.blueletterbible.org/search/preSearch.cfm?Criteria=Genesis+3.21&amp;t=NKJV" TargetMode="External"/><Relationship Id="rId38" Type="http://schemas.openxmlformats.org/officeDocument/2006/relationships/hyperlink" Target="https://www.blueletterbible.org/search/preSearch.cfm?Criteria=Genesis+2.25&amp;t=NKJV" TargetMode="External"/><Relationship Id="rId46" Type="http://schemas.openxmlformats.org/officeDocument/2006/relationships/hyperlink" Target="https://www.blueletterbible.org/search/preSearch.cfm?Criteria=Luke+9.29&amp;t=NKJV" TargetMode="External"/><Relationship Id="rId59" Type="http://schemas.openxmlformats.org/officeDocument/2006/relationships/hyperlink" Target="http://lampbroadcast.org/plets/ppdf9/CominginHIsKingdomPar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2020-09-07T19:42:00Z</dcterms:created>
  <dcterms:modified xsi:type="dcterms:W3CDTF">2020-09-07T20:02:00Z</dcterms:modified>
</cp:coreProperties>
</file>